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E7FB8"/>
        <w:tblLook w:val="04A0" w:firstRow="1" w:lastRow="0" w:firstColumn="1" w:lastColumn="0" w:noHBand="0" w:noVBand="1"/>
      </w:tblPr>
      <w:tblGrid>
        <w:gridCol w:w="9026"/>
      </w:tblGrid>
      <w:tr w:rsidR="008B0677" w:rsidRPr="000469A7" w:rsidTr="00B24EB7">
        <w:trPr>
          <w:trHeight w:val="2655"/>
          <w:jc w:val="center"/>
        </w:trPr>
        <w:tc>
          <w:tcPr>
            <w:tcW w:w="9554" w:type="dxa"/>
            <w:shd w:val="clear" w:color="auto" w:fill="1E7FB8"/>
          </w:tcPr>
          <w:p w:rsidR="008B0677" w:rsidRDefault="008B0677" w:rsidP="00B24EB7">
            <w:pPr>
              <w:jc w:val="center"/>
              <w:rPr>
                <w:rFonts w:ascii="Calibri" w:hAnsi="Calibri"/>
                <w:b/>
                <w:bCs/>
                <w:color w:val="FFFFFF" w:themeColor="background1"/>
                <w:sz w:val="28"/>
                <w:szCs w:val="28"/>
              </w:rPr>
            </w:pPr>
          </w:p>
          <w:p w:rsidR="005E195E" w:rsidRDefault="005E195E" w:rsidP="008B0677">
            <w:pPr>
              <w:jc w:val="center"/>
              <w:rPr>
                <w:rFonts w:cstheme="minorHAnsi"/>
                <w:b/>
                <w:bCs/>
                <w:color w:val="FFFFFF" w:themeColor="background1"/>
                <w:sz w:val="28"/>
                <w:szCs w:val="26"/>
              </w:rPr>
            </w:pPr>
          </w:p>
          <w:p w:rsidR="008B0677" w:rsidRDefault="008B0677" w:rsidP="008B0677">
            <w:pPr>
              <w:jc w:val="center"/>
              <w:rPr>
                <w:rFonts w:cstheme="minorHAnsi"/>
                <w:b/>
                <w:bCs/>
                <w:color w:val="FFFFFF" w:themeColor="background1"/>
                <w:sz w:val="28"/>
                <w:szCs w:val="26"/>
              </w:rPr>
            </w:pPr>
            <w:r w:rsidRPr="008B0677">
              <w:rPr>
                <w:rFonts w:cstheme="minorHAnsi"/>
                <w:b/>
                <w:bCs/>
                <w:color w:val="FFFFFF" w:themeColor="background1"/>
                <w:sz w:val="28"/>
                <w:szCs w:val="26"/>
              </w:rPr>
              <w:t xml:space="preserve">National NCD Governance Programme: a joint WHO UNDP World Bank collaboration </w:t>
            </w:r>
            <w:r w:rsidRPr="005E75CE">
              <w:rPr>
                <w:rFonts w:cstheme="minorHAnsi"/>
                <w:b/>
                <w:bCs/>
                <w:color w:val="FFFFFF" w:themeColor="background1"/>
                <w:sz w:val="28"/>
                <w:szCs w:val="26"/>
              </w:rPr>
              <w:t xml:space="preserve"> </w:t>
            </w:r>
          </w:p>
          <w:p w:rsidR="008B0677" w:rsidRDefault="008B0677" w:rsidP="00B24EB7">
            <w:pPr>
              <w:jc w:val="center"/>
              <w:rPr>
                <w:rFonts w:ascii="Calibri" w:hAnsi="Calibri"/>
                <w:b/>
                <w:bCs/>
              </w:rPr>
            </w:pPr>
          </w:p>
          <w:p w:rsidR="008B0677" w:rsidRPr="000469A7" w:rsidRDefault="008B0677" w:rsidP="007053DA">
            <w:pPr>
              <w:jc w:val="center"/>
              <w:rPr>
                <w:rFonts w:ascii="Calibri" w:hAnsi="Calibri"/>
                <w:b/>
                <w:bCs/>
              </w:rPr>
            </w:pPr>
            <w:r w:rsidRPr="005E75CE">
              <w:rPr>
                <w:rFonts w:cstheme="minorHAnsi"/>
                <w:b/>
                <w:bCs/>
                <w:color w:val="FFFFFF" w:themeColor="background1"/>
                <w:sz w:val="28"/>
                <w:szCs w:val="26"/>
              </w:rPr>
              <w:t>C</w:t>
            </w:r>
            <w:r>
              <w:rPr>
                <w:rFonts w:cstheme="minorHAnsi"/>
                <w:b/>
                <w:bCs/>
                <w:color w:val="FFFFFF" w:themeColor="background1"/>
                <w:sz w:val="28"/>
                <w:szCs w:val="26"/>
              </w:rPr>
              <w:t>ONCEPT NOTE</w:t>
            </w:r>
            <w:r w:rsidR="006C0B88">
              <w:rPr>
                <w:rFonts w:cstheme="minorHAnsi"/>
                <w:b/>
                <w:bCs/>
                <w:color w:val="FFFFFF" w:themeColor="background1"/>
                <w:sz w:val="28"/>
                <w:szCs w:val="26"/>
              </w:rPr>
              <w:t xml:space="preserve"> </w:t>
            </w:r>
            <w:r w:rsidR="007053DA">
              <w:rPr>
                <w:rFonts w:cstheme="minorHAnsi"/>
                <w:b/>
                <w:bCs/>
                <w:color w:val="FFFFFF" w:themeColor="background1"/>
                <w:sz w:val="28"/>
                <w:szCs w:val="26"/>
              </w:rPr>
              <w:t>May</w:t>
            </w:r>
            <w:r w:rsidR="006C0B88">
              <w:rPr>
                <w:rFonts w:cstheme="minorHAnsi"/>
                <w:b/>
                <w:bCs/>
                <w:color w:val="FFFFFF" w:themeColor="background1"/>
                <w:sz w:val="28"/>
                <w:szCs w:val="26"/>
              </w:rPr>
              <w:t xml:space="preserve"> 2015</w:t>
            </w:r>
          </w:p>
        </w:tc>
      </w:tr>
    </w:tbl>
    <w:p w:rsidR="008B0677" w:rsidRDefault="008B0677" w:rsidP="008B0677">
      <w:pPr>
        <w:rPr>
          <w:b/>
          <w:bCs/>
          <w:color w:val="0070C0"/>
          <w:sz w:val="24"/>
          <w:szCs w:val="24"/>
        </w:rPr>
      </w:pPr>
    </w:p>
    <w:p w:rsidR="00D2188B" w:rsidRDefault="00D2188B" w:rsidP="007053DA">
      <w:pPr>
        <w:autoSpaceDE w:val="0"/>
        <w:autoSpaceDN w:val="0"/>
        <w:adjustRightInd w:val="0"/>
        <w:spacing w:line="240" w:lineRule="auto"/>
        <w:jc w:val="both"/>
        <w:rPr>
          <w:lang w:val="en-US"/>
        </w:rPr>
      </w:pPr>
      <w:r>
        <w:rPr>
          <w:lang w:val="en-US"/>
        </w:rPr>
        <w:t xml:space="preserve">The overriding objective of the Global Joint Programme is to help countries meet the governance commitments they made in the Outcome Document of the 2014 UN General Assembly High Level Meeting on NCDs and to strengthen the governance of their NCD responses by ensuring suitable expertise and capacities for institution and expenditure reviews, multisectoral coordination, implementation, monitoring and evaluation at the national and local levels. </w:t>
      </w:r>
    </w:p>
    <w:p w:rsidR="008027FD" w:rsidRPr="008027FD" w:rsidRDefault="008027FD" w:rsidP="00D2188B">
      <w:pPr>
        <w:pStyle w:val="Heading1"/>
        <w:jc w:val="both"/>
        <w:rPr>
          <w:lang w:val="en-US"/>
        </w:rPr>
      </w:pPr>
      <w:r w:rsidRPr="008027FD">
        <w:rPr>
          <w:lang w:val="en-US"/>
        </w:rPr>
        <w:t>Rationale</w:t>
      </w:r>
    </w:p>
    <w:p w:rsidR="00476ABC" w:rsidRDefault="00D26CDA" w:rsidP="000A2B4E">
      <w:pPr>
        <w:autoSpaceDE w:val="0"/>
        <w:autoSpaceDN w:val="0"/>
        <w:adjustRightInd w:val="0"/>
        <w:spacing w:line="240" w:lineRule="auto"/>
        <w:jc w:val="both"/>
        <w:rPr>
          <w:lang w:val="en-US"/>
        </w:rPr>
      </w:pPr>
      <w:r w:rsidRPr="008B0E1A">
        <w:rPr>
          <w:lang w:val="en-US"/>
        </w:rPr>
        <w:t xml:space="preserve">Avoidable illness and death resulting from </w:t>
      </w:r>
      <w:r w:rsidR="003F551D" w:rsidRPr="008B0E1A">
        <w:rPr>
          <w:lang w:val="en-US"/>
        </w:rPr>
        <w:t>non-communicable diseases (</w:t>
      </w:r>
      <w:r w:rsidRPr="008B0E1A">
        <w:rPr>
          <w:lang w:val="en-US"/>
        </w:rPr>
        <w:t>NCDs</w:t>
      </w:r>
      <w:r w:rsidR="003F551D" w:rsidRPr="008B0E1A">
        <w:rPr>
          <w:lang w:val="en-US"/>
        </w:rPr>
        <w:t>)</w:t>
      </w:r>
      <w:r w:rsidRPr="008B0E1A">
        <w:rPr>
          <w:lang w:val="en-US"/>
        </w:rPr>
        <w:t xml:space="preserve"> is a development challenge whose impact threatens human wellbeing in countries at all levels of development. </w:t>
      </w:r>
      <w:r w:rsidR="000A2B4E">
        <w:rPr>
          <w:lang w:val="en-US"/>
        </w:rPr>
        <w:t>The Sustainable Development Goals are expected to include a specific target on reducing premature mortality due to NCDs and a target devoted to accelerated implementation of the Framework Convention on Tobacco Control (FCTC). T</w:t>
      </w:r>
      <w:r w:rsidR="00476ABC">
        <w:rPr>
          <w:lang w:val="en-US"/>
        </w:rPr>
        <w:t xml:space="preserve">he UN Political Declaration on NCDs in 2011, and the </w:t>
      </w:r>
      <w:r w:rsidR="00476ABC" w:rsidRPr="008B0E1A">
        <w:rPr>
          <w:lang w:val="en-US"/>
        </w:rPr>
        <w:t xml:space="preserve">adoption of the WHO </w:t>
      </w:r>
      <w:hyperlink r:id="rId8" w:history="1">
        <w:r w:rsidR="00476ABC" w:rsidRPr="008B0E1A">
          <w:rPr>
            <w:rStyle w:val="Hyperlink"/>
            <w:i/>
            <w:iCs/>
            <w:lang w:val="en-US"/>
          </w:rPr>
          <w:t>Global Action Plan for the Prevention and Control of Non-Communicable Diseases 2013-2020</w:t>
        </w:r>
      </w:hyperlink>
      <w:r w:rsidR="000A2B4E">
        <w:rPr>
          <w:rStyle w:val="Hyperlink"/>
          <w:i/>
          <w:iCs/>
          <w:lang w:val="en-US"/>
        </w:rPr>
        <w:t xml:space="preserve"> </w:t>
      </w:r>
      <w:r w:rsidR="000A2B4E">
        <w:rPr>
          <w:rStyle w:val="Hyperlink"/>
          <w:lang w:val="en-US"/>
        </w:rPr>
        <w:t xml:space="preserve">in 2013 </w:t>
      </w:r>
      <w:r w:rsidR="00F63099">
        <w:rPr>
          <w:lang w:val="en-US"/>
        </w:rPr>
        <w:t>emphasize that</w:t>
      </w:r>
      <w:r w:rsidR="00F63099" w:rsidDel="00F63099">
        <w:rPr>
          <w:lang w:val="en-US"/>
        </w:rPr>
        <w:t xml:space="preserve"> </w:t>
      </w:r>
      <w:r w:rsidR="00E47BA6">
        <w:rPr>
          <w:lang w:val="en-US"/>
        </w:rPr>
        <w:t xml:space="preserve"> addressing </w:t>
      </w:r>
      <w:r w:rsidR="00D906D3">
        <w:rPr>
          <w:lang w:val="en-US"/>
        </w:rPr>
        <w:t>th</w:t>
      </w:r>
      <w:r w:rsidR="00E47BA6">
        <w:rPr>
          <w:lang w:val="en-US"/>
        </w:rPr>
        <w:t>e major risk factors for NCDs (</w:t>
      </w:r>
      <w:r w:rsidR="00581A45">
        <w:rPr>
          <w:lang w:val="en-US"/>
        </w:rPr>
        <w:t>tobacco use, harmfu</w:t>
      </w:r>
      <w:r w:rsidR="00D906D3">
        <w:rPr>
          <w:lang w:val="en-US"/>
        </w:rPr>
        <w:t xml:space="preserve">l use of alcohol, </w:t>
      </w:r>
      <w:r w:rsidR="00E47BA6">
        <w:rPr>
          <w:lang w:val="en-US"/>
        </w:rPr>
        <w:t xml:space="preserve">physical </w:t>
      </w:r>
      <w:r w:rsidR="00D906D3">
        <w:rPr>
          <w:lang w:val="en-US"/>
        </w:rPr>
        <w:t xml:space="preserve">inactivity and unhealthy </w:t>
      </w:r>
      <w:r w:rsidR="00E47BA6">
        <w:rPr>
          <w:lang w:val="en-US"/>
        </w:rPr>
        <w:t xml:space="preserve">diet) require </w:t>
      </w:r>
      <w:r w:rsidR="00F63099">
        <w:rPr>
          <w:lang w:val="en-US"/>
        </w:rPr>
        <w:t xml:space="preserve"> intersectoral </w:t>
      </w:r>
      <w:r w:rsidR="000A2B4E">
        <w:rPr>
          <w:lang w:val="en-US"/>
        </w:rPr>
        <w:t xml:space="preserve">action across the </w:t>
      </w:r>
      <w:r w:rsidR="00F63099">
        <w:rPr>
          <w:lang w:val="en-US"/>
        </w:rPr>
        <w:t xml:space="preserve">whole of government and support from </w:t>
      </w:r>
      <w:r w:rsidR="000A2B4E">
        <w:rPr>
          <w:lang w:val="en-US"/>
        </w:rPr>
        <w:t xml:space="preserve">all parts of the </w:t>
      </w:r>
      <w:r w:rsidR="00F63099">
        <w:rPr>
          <w:lang w:val="en-US"/>
        </w:rPr>
        <w:t>UN system</w:t>
      </w:r>
      <w:r w:rsidR="00E47BA6">
        <w:rPr>
          <w:lang w:val="en-US"/>
        </w:rPr>
        <w:t xml:space="preserve">.  </w:t>
      </w:r>
    </w:p>
    <w:p w:rsidR="00EB7A1A" w:rsidRDefault="00EB7A1A" w:rsidP="00EB7A1A">
      <w:pPr>
        <w:autoSpaceDE w:val="0"/>
        <w:autoSpaceDN w:val="0"/>
        <w:adjustRightInd w:val="0"/>
        <w:spacing w:line="240" w:lineRule="auto"/>
        <w:jc w:val="both"/>
        <w:rPr>
          <w:lang w:val="en-US"/>
        </w:rPr>
      </w:pPr>
      <w:r>
        <w:rPr>
          <w:noProof/>
          <w:lang w:val="en-US"/>
        </w:rPr>
        <w:drawing>
          <wp:anchor distT="0" distB="0" distL="114300" distR="114300" simplePos="0" relativeHeight="251658240" behindDoc="1" locked="0" layoutInCell="1" allowOverlap="1" wp14:anchorId="24B6DC07" wp14:editId="1623C86B">
            <wp:simplePos x="0" y="0"/>
            <wp:positionH relativeFrom="margin">
              <wp:posOffset>-19685</wp:posOffset>
            </wp:positionH>
            <wp:positionV relativeFrom="paragraph">
              <wp:posOffset>137795</wp:posOffset>
            </wp:positionV>
            <wp:extent cx="2018665" cy="935990"/>
            <wp:effectExtent l="19050" t="19050" r="19685" b="16510"/>
            <wp:wrapTight wrapText="bothSides">
              <wp:wrapPolygon edited="0">
                <wp:start x="-204" y="-440"/>
                <wp:lineTo x="-204" y="21541"/>
                <wp:lineTo x="21607" y="21541"/>
                <wp:lineTo x="21607" y="-440"/>
                <wp:lineTo x="-204" y="-4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18665" cy="93599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lang w:val="en-US"/>
        </w:rPr>
        <w:t>Objective Two of the Global Action Plan is to “strengthen national capacity, leadership, multisectoral action and partnerships to accelerate country response for the prevention and control of NCDs.” This Concept Note proposes a joint collaboration among the UN Development Programme (UNDP), WHO and the World Bank to strengthen countries’ governance responses to NCDs and help them achieve Objective 2.</w:t>
      </w:r>
    </w:p>
    <w:p w:rsidR="00940FA1" w:rsidRDefault="00F63099" w:rsidP="00F63099">
      <w:pPr>
        <w:autoSpaceDE w:val="0"/>
        <w:autoSpaceDN w:val="0"/>
        <w:adjustRightInd w:val="0"/>
        <w:spacing w:line="240" w:lineRule="auto"/>
        <w:jc w:val="both"/>
        <w:rPr>
          <w:lang w:val="en-US"/>
        </w:rPr>
      </w:pPr>
      <w:r>
        <w:rPr>
          <w:lang w:val="en-US"/>
        </w:rPr>
        <w:t xml:space="preserve">In 2013, </w:t>
      </w:r>
      <w:r w:rsidR="00940FA1">
        <w:rPr>
          <w:lang w:val="en-US"/>
        </w:rPr>
        <w:t>the UN Economic and Social Council (ECOSOC) endorsed the establishment of a United Nations Interagency Task Force on the Prevention and Control of Noncommunicable Diseases</w:t>
      </w:r>
      <w:r w:rsidR="009B7251">
        <w:rPr>
          <w:lang w:val="en-US"/>
        </w:rPr>
        <w:t xml:space="preserve"> (UNIATF)</w:t>
      </w:r>
      <w:r>
        <w:rPr>
          <w:lang w:val="en-US"/>
        </w:rPr>
        <w:t xml:space="preserve"> and in 2014 ECOSOC endorsed the UNIATF’s Terms of Reference and </w:t>
      </w:r>
      <w:r w:rsidR="00940FA1">
        <w:rPr>
          <w:lang w:val="en-US"/>
        </w:rPr>
        <w:t xml:space="preserve">a Division of Tasks and Responsibilities that is organized </w:t>
      </w:r>
      <w:r w:rsidR="0026641F">
        <w:rPr>
          <w:lang w:val="en-US"/>
        </w:rPr>
        <w:t>around</w:t>
      </w:r>
      <w:r w:rsidR="00940FA1">
        <w:rPr>
          <w:lang w:val="en-US"/>
        </w:rPr>
        <w:t xml:space="preserve"> the six objectives of the Global Action Plan. </w:t>
      </w:r>
    </w:p>
    <w:p w:rsidR="00763FEF" w:rsidRDefault="001D623B" w:rsidP="000A2B4E">
      <w:pPr>
        <w:autoSpaceDE w:val="0"/>
        <w:autoSpaceDN w:val="0"/>
        <w:adjustRightInd w:val="0"/>
        <w:spacing w:line="240" w:lineRule="auto"/>
        <w:jc w:val="both"/>
        <w:rPr>
          <w:lang w:val="en-US"/>
        </w:rPr>
      </w:pPr>
      <w:r>
        <w:rPr>
          <w:lang w:val="en-US"/>
        </w:rPr>
        <w:t xml:space="preserve">The 2014 outcome document of the </w:t>
      </w:r>
      <w:r w:rsidRPr="00D2188B">
        <w:rPr>
          <w:i/>
          <w:lang w:val="en-US"/>
        </w:rPr>
        <w:t>high-level meeting of the UN General Assembly to undertake the comprehensive review and assessment of the 2011 Political Declaration on NCDs</w:t>
      </w:r>
      <w:r w:rsidR="00506B1D">
        <w:rPr>
          <w:rStyle w:val="FootnoteReference"/>
          <w:i/>
          <w:lang w:val="en-US"/>
        </w:rPr>
        <w:footnoteReference w:id="1"/>
      </w:r>
      <w:r w:rsidRPr="001D623B">
        <w:rPr>
          <w:lang w:val="en-US"/>
        </w:rPr>
        <w:t xml:space="preserve"> </w:t>
      </w:r>
      <w:r w:rsidR="000A2B4E">
        <w:rPr>
          <w:lang w:val="en-US"/>
        </w:rPr>
        <w:t xml:space="preserve">highlighted </w:t>
      </w:r>
      <w:r w:rsidR="00F63099">
        <w:rPr>
          <w:lang w:val="en-US"/>
        </w:rPr>
        <w:t xml:space="preserve">effective </w:t>
      </w:r>
      <w:r w:rsidR="00DC0BDA">
        <w:rPr>
          <w:lang w:val="en-US"/>
        </w:rPr>
        <w:t xml:space="preserve">governance </w:t>
      </w:r>
      <w:r w:rsidR="000A2B4E">
        <w:rPr>
          <w:lang w:val="en-US"/>
        </w:rPr>
        <w:t>as</w:t>
      </w:r>
      <w:r w:rsidR="00E84585">
        <w:rPr>
          <w:lang w:val="en-US"/>
        </w:rPr>
        <w:t xml:space="preserve"> </w:t>
      </w:r>
      <w:r w:rsidR="008B5FBF">
        <w:rPr>
          <w:lang w:val="en-US"/>
        </w:rPr>
        <w:t xml:space="preserve">a </w:t>
      </w:r>
      <w:r w:rsidR="00F63099">
        <w:rPr>
          <w:lang w:val="en-US"/>
        </w:rPr>
        <w:t xml:space="preserve">central pillar </w:t>
      </w:r>
      <w:r w:rsidR="008B5FBF">
        <w:rPr>
          <w:lang w:val="en-US"/>
        </w:rPr>
        <w:t>for addressing NCDs</w:t>
      </w:r>
      <w:r w:rsidR="000A2B4E">
        <w:rPr>
          <w:lang w:val="en-US"/>
        </w:rPr>
        <w:t>.</w:t>
      </w:r>
      <w:r w:rsidR="008B5FBF">
        <w:rPr>
          <w:lang w:val="en-US"/>
        </w:rPr>
        <w:t xml:space="preserve"> </w:t>
      </w:r>
      <w:r w:rsidR="00763FEF">
        <w:rPr>
          <w:lang w:val="en-US"/>
        </w:rPr>
        <w:t xml:space="preserve"> </w:t>
      </w:r>
    </w:p>
    <w:p w:rsidR="000A2B4E" w:rsidRDefault="00B830BE" w:rsidP="00B0578F">
      <w:pPr>
        <w:autoSpaceDE w:val="0"/>
        <w:autoSpaceDN w:val="0"/>
        <w:adjustRightInd w:val="0"/>
        <w:spacing w:line="240" w:lineRule="auto"/>
        <w:jc w:val="both"/>
        <w:rPr>
          <w:lang w:val="en-US"/>
        </w:rPr>
      </w:pPr>
      <w:r w:rsidRPr="00763FEF">
        <w:rPr>
          <w:b/>
          <w:bCs/>
          <w:noProof/>
          <w:lang w:val="en-US"/>
        </w:rPr>
        <w:lastRenderedPageBreak/>
        <mc:AlternateContent>
          <mc:Choice Requires="wps">
            <w:drawing>
              <wp:anchor distT="45720" distB="45720" distL="114300" distR="114300" simplePos="0" relativeHeight="251662336" behindDoc="0" locked="0" layoutInCell="1" allowOverlap="1" wp14:anchorId="0E52985F" wp14:editId="11AC3926">
                <wp:simplePos x="0" y="0"/>
                <wp:positionH relativeFrom="margin">
                  <wp:posOffset>-73660</wp:posOffset>
                </wp:positionH>
                <wp:positionV relativeFrom="paragraph">
                  <wp:posOffset>135890</wp:posOffset>
                </wp:positionV>
                <wp:extent cx="3225800" cy="2332990"/>
                <wp:effectExtent l="0" t="0" r="1270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332990"/>
                        </a:xfrm>
                        <a:prstGeom prst="rect">
                          <a:avLst/>
                        </a:prstGeom>
                        <a:solidFill>
                          <a:schemeClr val="accent2">
                            <a:lumMod val="20000"/>
                            <a:lumOff val="80000"/>
                          </a:schemeClr>
                        </a:solidFill>
                        <a:ln w="9525">
                          <a:solidFill>
                            <a:srgbClr val="000000"/>
                          </a:solidFill>
                          <a:miter lim="800000"/>
                          <a:headEnd/>
                          <a:tailEnd/>
                        </a:ln>
                      </wps:spPr>
                      <wps:txbx>
                        <w:txbxContent>
                          <w:p w:rsidR="00F763A6" w:rsidRDefault="00F763A6" w:rsidP="00B830BE">
                            <w:pPr>
                              <w:spacing w:after="0" w:line="240" w:lineRule="auto"/>
                              <w:rPr>
                                <w:sz w:val="20"/>
                                <w:szCs w:val="20"/>
                              </w:rPr>
                            </w:pPr>
                            <w:r w:rsidRPr="00F763A6">
                              <w:rPr>
                                <w:sz w:val="20"/>
                                <w:szCs w:val="20"/>
                              </w:rPr>
                              <w:t>UNDP</w:t>
                            </w:r>
                            <w:r w:rsidR="007053DA">
                              <w:rPr>
                                <w:sz w:val="20"/>
                                <w:szCs w:val="20"/>
                              </w:rPr>
                              <w:t xml:space="preserve"> </w:t>
                            </w:r>
                            <w:r w:rsidRPr="007C36EE">
                              <w:rPr>
                                <w:sz w:val="20"/>
                                <w:szCs w:val="20"/>
                              </w:rPr>
                              <w:t>define</w:t>
                            </w:r>
                            <w:r w:rsidR="00CF67DD">
                              <w:rPr>
                                <w:sz w:val="20"/>
                                <w:szCs w:val="20"/>
                              </w:rPr>
                              <w:t>s</w:t>
                            </w:r>
                            <w:r w:rsidRPr="007C36EE">
                              <w:rPr>
                                <w:sz w:val="20"/>
                                <w:szCs w:val="20"/>
                              </w:rPr>
                              <w:t xml:space="preserve"> ‘governance’ as ‘the exercise of economic, political and administrative authority to manage a country’s affairs at all levels. It comprises the mechanisms, processes and institutions through which citizens and groups articulate their interests, exercise their legal rights, meet their obligations and mediate their differences’. In 1993, the World Bank defined governance as the method through which power is exercised in the management of a country’s political, economic and social resources for development.</w:t>
                            </w:r>
                          </w:p>
                          <w:p w:rsidR="00B830BE" w:rsidRDefault="00B830BE" w:rsidP="00B830BE">
                            <w:pPr>
                              <w:pStyle w:val="FootnoteText"/>
                              <w:rPr>
                                <w:sz w:val="16"/>
                                <w:szCs w:val="16"/>
                              </w:rPr>
                            </w:pPr>
                          </w:p>
                          <w:p w:rsidR="00CF67DD" w:rsidRPr="00B739A3" w:rsidRDefault="007C36EE" w:rsidP="00B830BE">
                            <w:pPr>
                              <w:pStyle w:val="FootnoteText"/>
                              <w:rPr>
                                <w:sz w:val="16"/>
                                <w:szCs w:val="16"/>
                                <w:lang w:val="en-US"/>
                              </w:rPr>
                            </w:pPr>
                            <w:r>
                              <w:rPr>
                                <w:sz w:val="16"/>
                                <w:szCs w:val="16"/>
                              </w:rPr>
                              <w:t xml:space="preserve">UNDP. </w:t>
                            </w:r>
                            <w:r w:rsidR="00CF67DD" w:rsidRPr="00B739A3">
                              <w:rPr>
                                <w:sz w:val="16"/>
                                <w:szCs w:val="16"/>
                              </w:rPr>
                              <w:t>Governance for sustainable human development, UNDP policy document, New York, 1997.</w:t>
                            </w:r>
                          </w:p>
                          <w:p w:rsidR="00CF67DD" w:rsidRPr="00B739A3" w:rsidRDefault="00CF67DD" w:rsidP="00B830BE">
                            <w:pPr>
                              <w:pStyle w:val="FootnoteText"/>
                              <w:rPr>
                                <w:sz w:val="16"/>
                                <w:szCs w:val="16"/>
                                <w:lang w:val="en-US"/>
                              </w:rPr>
                            </w:pPr>
                            <w:r w:rsidRPr="00B739A3">
                              <w:rPr>
                                <w:sz w:val="16"/>
                                <w:szCs w:val="16"/>
                              </w:rPr>
                              <w:t>World Bank, Governance, Washington, D.C., 1993. Economic and Social Council E/C.16/2006/4.</w:t>
                            </w:r>
                          </w:p>
                          <w:p w:rsidR="00CF67DD" w:rsidRDefault="00CF67DD" w:rsidP="00CF67DD">
                            <w:pPr>
                              <w:rPr>
                                <w:sz w:val="20"/>
                                <w:szCs w:val="20"/>
                              </w:rPr>
                            </w:pPr>
                          </w:p>
                          <w:p w:rsidR="00CF67DD" w:rsidRDefault="00CF67DD" w:rsidP="00CF67DD">
                            <w:pPr>
                              <w:rPr>
                                <w:sz w:val="20"/>
                                <w:szCs w:val="20"/>
                              </w:rPr>
                            </w:pPr>
                          </w:p>
                          <w:p w:rsidR="00CF67DD" w:rsidRPr="007C36EE" w:rsidRDefault="00CF67DD" w:rsidP="00CF67D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2985F" id="_x0000_t202" coordsize="21600,21600" o:spt="202" path="m,l,21600r21600,l21600,xe">
                <v:stroke joinstyle="miter"/>
                <v:path gradientshapeok="t" o:connecttype="rect"/>
              </v:shapetype>
              <v:shape id="Text Box 2" o:spid="_x0000_s1026" type="#_x0000_t202" style="position:absolute;left:0;text-align:left;margin-left:-5.8pt;margin-top:10.7pt;width:254pt;height:183.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" fillcolor="#f2dbdb [661]">
                <v:textbox>
                  <w:txbxContent>
                    <w:p w:rsidR="00F763A6" w:rsidRDefault="00F763A6" w:rsidP="00B830BE">
                      <w:pPr>
                        <w:spacing w:after="0" w:line="240" w:lineRule="auto"/>
                        <w:rPr>
                          <w:sz w:val="20"/>
                          <w:szCs w:val="20"/>
                        </w:rPr>
                      </w:pPr>
                      <w:r w:rsidRPr="00F763A6">
                        <w:rPr>
                          <w:sz w:val="20"/>
                          <w:szCs w:val="20"/>
                        </w:rPr>
                        <w:t>UNDP</w:t>
                      </w:r>
                      <w:r w:rsidR="007053DA">
                        <w:rPr>
                          <w:sz w:val="20"/>
                          <w:szCs w:val="20"/>
                        </w:rPr>
                        <w:t xml:space="preserve"> </w:t>
                      </w:r>
                      <w:r w:rsidRPr="007C36EE">
                        <w:rPr>
                          <w:sz w:val="20"/>
                          <w:szCs w:val="20"/>
                        </w:rPr>
                        <w:t>define</w:t>
                      </w:r>
                      <w:r w:rsidR="00CF67DD">
                        <w:rPr>
                          <w:sz w:val="20"/>
                          <w:szCs w:val="20"/>
                        </w:rPr>
                        <w:t>s</w:t>
                      </w:r>
                      <w:r w:rsidRPr="007C36EE">
                        <w:rPr>
                          <w:sz w:val="20"/>
                          <w:szCs w:val="20"/>
                        </w:rPr>
                        <w:t xml:space="preserve"> ‘governance’ as ‘the exercise of economic, political and administrative authority to manage a country’s affairs at all levels. It comprises the mechanisms, processes and institutions through which citizens and groups articulate their interests, exercise their legal rights, meet their obligations and mediate their differences’. In 1993, the World Bank defined governance as the method through which power is exercised in the management of a country’s political, economic and social resources for development.</w:t>
                      </w:r>
                    </w:p>
                    <w:p w:rsidR="00B830BE" w:rsidRDefault="00B830BE" w:rsidP="00B830BE">
                      <w:pPr>
                        <w:pStyle w:val="FootnoteText"/>
                        <w:rPr>
                          <w:sz w:val="16"/>
                          <w:szCs w:val="16"/>
                        </w:rPr>
                      </w:pPr>
                    </w:p>
                    <w:p w:rsidR="00CF67DD" w:rsidRPr="00B739A3" w:rsidRDefault="007C36EE" w:rsidP="00B830BE">
                      <w:pPr>
                        <w:pStyle w:val="FootnoteText"/>
                        <w:rPr>
                          <w:sz w:val="16"/>
                          <w:szCs w:val="16"/>
                          <w:lang w:val="en-US"/>
                        </w:rPr>
                      </w:pPr>
                      <w:r>
                        <w:rPr>
                          <w:sz w:val="16"/>
                          <w:szCs w:val="16"/>
                        </w:rPr>
                        <w:t xml:space="preserve">UNDP. </w:t>
                      </w:r>
                      <w:r w:rsidR="00CF67DD" w:rsidRPr="00B739A3">
                        <w:rPr>
                          <w:sz w:val="16"/>
                          <w:szCs w:val="16"/>
                        </w:rPr>
                        <w:t>Governance for sustainable human development, UNDP policy document, New York, 1997.</w:t>
                      </w:r>
                    </w:p>
                    <w:p w:rsidR="00CF67DD" w:rsidRPr="00B739A3" w:rsidRDefault="00CF67DD" w:rsidP="00B830BE">
                      <w:pPr>
                        <w:pStyle w:val="FootnoteText"/>
                        <w:rPr>
                          <w:sz w:val="16"/>
                          <w:szCs w:val="16"/>
                          <w:lang w:val="en-US"/>
                        </w:rPr>
                      </w:pPr>
                      <w:r w:rsidRPr="00B739A3">
                        <w:rPr>
                          <w:sz w:val="16"/>
                          <w:szCs w:val="16"/>
                        </w:rPr>
                        <w:t>World Bank, Governance, Washington, D.C., 1993. Economic and Social Council E/C.16/2006/4.</w:t>
                      </w:r>
                    </w:p>
                    <w:p w:rsidR="00CF67DD" w:rsidRDefault="00CF67DD" w:rsidP="00CF67DD">
                      <w:pPr>
                        <w:rPr>
                          <w:sz w:val="20"/>
                          <w:szCs w:val="20"/>
                        </w:rPr>
                      </w:pPr>
                    </w:p>
                    <w:p w:rsidR="00CF67DD" w:rsidRDefault="00CF67DD" w:rsidP="00CF67DD">
                      <w:pPr>
                        <w:rPr>
                          <w:sz w:val="20"/>
                          <w:szCs w:val="20"/>
                        </w:rPr>
                      </w:pPr>
                    </w:p>
                    <w:p w:rsidR="00CF67DD" w:rsidRPr="007C36EE" w:rsidRDefault="00CF67DD" w:rsidP="00CF67DD">
                      <w:pPr>
                        <w:rPr>
                          <w:sz w:val="20"/>
                          <w:szCs w:val="20"/>
                        </w:rPr>
                      </w:pPr>
                    </w:p>
                  </w:txbxContent>
                </v:textbox>
                <w10:wrap type="square" anchorx="margin"/>
              </v:shape>
            </w:pict>
          </mc:Fallback>
        </mc:AlternateContent>
      </w:r>
      <w:r w:rsidR="000A2B4E">
        <w:rPr>
          <w:lang w:val="en-US"/>
        </w:rPr>
        <w:t xml:space="preserve">As part of the UNIATF’s support to countries, a series of Joint Missions to countries have been undertaken by Task Force members. These include India, Kenya, Belarus, Tonga and Belarus. </w:t>
      </w:r>
      <w:r w:rsidR="008C1405">
        <w:rPr>
          <w:lang w:val="en-US"/>
        </w:rPr>
        <w:t xml:space="preserve">These missions have resulted in a series of recommendations to governments and the UN Country Teams, in particular in the governance. </w:t>
      </w:r>
      <w:r w:rsidR="007C36EE">
        <w:rPr>
          <w:lang w:val="en-US"/>
        </w:rPr>
        <w:t>The Fourth UNIATF mission in Rome</w:t>
      </w:r>
      <w:r w:rsidR="00F36029">
        <w:rPr>
          <w:rStyle w:val="FootnoteReference"/>
          <w:lang w:val="en-US"/>
        </w:rPr>
        <w:footnoteReference w:id="2"/>
      </w:r>
      <w:r w:rsidR="007C36EE">
        <w:rPr>
          <w:lang w:val="en-US"/>
        </w:rPr>
        <w:t xml:space="preserve"> reviewed these missions as well as a request by the </w:t>
      </w:r>
      <w:r w:rsidR="007C36EE" w:rsidRPr="00870EB4">
        <w:rPr>
          <w:lang w:val="en-US"/>
        </w:rPr>
        <w:t xml:space="preserve">Conference of the Parties to the Convention </w:t>
      </w:r>
      <w:r w:rsidR="007C36EE">
        <w:rPr>
          <w:lang w:val="en-US"/>
        </w:rPr>
        <w:t xml:space="preserve">for </w:t>
      </w:r>
      <w:r w:rsidR="007C36EE" w:rsidRPr="00870EB4">
        <w:rPr>
          <w:lang w:val="en-US"/>
        </w:rPr>
        <w:t>WHO, UNDP and the World Bank to collaborate to support Parties respond to the economic consequence of tobacco use</w:t>
      </w:r>
      <w:r w:rsidR="007C36EE">
        <w:rPr>
          <w:lang w:val="en-US"/>
        </w:rPr>
        <w:t>.</w:t>
      </w:r>
      <w:r w:rsidR="007C36EE">
        <w:rPr>
          <w:rStyle w:val="FootnoteReference"/>
          <w:lang w:val="en-US"/>
        </w:rPr>
        <w:footnoteReference w:id="3"/>
      </w:r>
      <w:r w:rsidR="007C36EE" w:rsidRPr="00870EB4">
        <w:rPr>
          <w:lang w:val="en-US"/>
        </w:rPr>
        <w:t xml:space="preserve"> </w:t>
      </w:r>
      <w:r w:rsidR="007C36EE">
        <w:rPr>
          <w:lang w:val="en-US"/>
        </w:rPr>
        <w:t>As a</w:t>
      </w:r>
      <w:r w:rsidR="008C1405">
        <w:rPr>
          <w:lang w:val="en-US"/>
        </w:rPr>
        <w:t xml:space="preserve"> result of the Joint Missions and </w:t>
      </w:r>
      <w:r w:rsidR="007C36EE">
        <w:rPr>
          <w:lang w:val="en-US"/>
        </w:rPr>
        <w:t xml:space="preserve">discussions at the Fourth UNIATF meeting, </w:t>
      </w:r>
      <w:r w:rsidR="008C1405">
        <w:rPr>
          <w:lang w:val="en-US"/>
        </w:rPr>
        <w:t>UNDP, WHO and the World Bank are proposing</w:t>
      </w:r>
      <w:r w:rsidR="000A2B4E">
        <w:rPr>
          <w:lang w:val="en-US"/>
        </w:rPr>
        <w:t xml:space="preserve"> </w:t>
      </w:r>
      <w:r w:rsidR="00870EB4" w:rsidRPr="0026641F">
        <w:rPr>
          <w:lang w:val="en-US"/>
        </w:rPr>
        <w:t xml:space="preserve">a </w:t>
      </w:r>
      <w:r w:rsidR="00870EB4" w:rsidRPr="0026641F">
        <w:rPr>
          <w:i/>
          <w:lang w:val="en-US"/>
        </w:rPr>
        <w:t>Global Joint Programme to Strengthen National NCD Governance</w:t>
      </w:r>
      <w:r w:rsidR="00870EB4">
        <w:rPr>
          <w:i/>
          <w:lang w:val="en-US"/>
        </w:rPr>
        <w:t>.</w:t>
      </w:r>
    </w:p>
    <w:p w:rsidR="00C3423B" w:rsidRDefault="00B830BE" w:rsidP="00B830BE">
      <w:pPr>
        <w:autoSpaceDE w:val="0"/>
        <w:autoSpaceDN w:val="0"/>
        <w:adjustRightInd w:val="0"/>
        <w:spacing w:line="240" w:lineRule="auto"/>
        <w:jc w:val="both"/>
        <w:rPr>
          <w:lang w:val="en-US"/>
        </w:rPr>
      </w:pPr>
      <w:r w:rsidRPr="00763FEF">
        <w:rPr>
          <w:b/>
          <w:bCs/>
          <w:noProof/>
          <w:lang w:val="en-US"/>
        </w:rPr>
        <mc:AlternateContent>
          <mc:Choice Requires="wps">
            <w:drawing>
              <wp:anchor distT="45720" distB="45720" distL="114300" distR="114300" simplePos="0" relativeHeight="251660288" behindDoc="0" locked="0" layoutInCell="1" allowOverlap="1" wp14:anchorId="2976265F" wp14:editId="34AAD464">
                <wp:simplePos x="0" y="0"/>
                <wp:positionH relativeFrom="margin">
                  <wp:align>left</wp:align>
                </wp:positionH>
                <wp:positionV relativeFrom="paragraph">
                  <wp:posOffset>85090</wp:posOffset>
                </wp:positionV>
                <wp:extent cx="3152140" cy="245745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2457907"/>
                        </a:xfrm>
                        <a:prstGeom prst="rect">
                          <a:avLst/>
                        </a:prstGeom>
                        <a:solidFill>
                          <a:schemeClr val="accent2">
                            <a:lumMod val="20000"/>
                            <a:lumOff val="80000"/>
                          </a:schemeClr>
                        </a:solidFill>
                        <a:ln w="9525">
                          <a:solidFill>
                            <a:srgbClr val="000000"/>
                          </a:solidFill>
                          <a:miter lim="800000"/>
                          <a:headEnd/>
                          <a:tailEnd/>
                        </a:ln>
                      </wps:spPr>
                      <wps:txbx>
                        <w:txbxContent>
                          <w:p w:rsidR="00763FEF" w:rsidRPr="00B830BE" w:rsidRDefault="007C6E84" w:rsidP="00B830BE">
                            <w:pPr>
                              <w:spacing w:after="0" w:line="240" w:lineRule="auto"/>
                              <w:rPr>
                                <w:sz w:val="20"/>
                                <w:szCs w:val="20"/>
                                <w:lang w:val="en-US"/>
                              </w:rPr>
                            </w:pPr>
                            <w:r w:rsidRPr="00B830BE">
                              <w:rPr>
                                <w:b/>
                                <w:bCs/>
                                <w:sz w:val="20"/>
                                <w:szCs w:val="20"/>
                                <w:lang w:val="en-US"/>
                              </w:rPr>
                              <w:t xml:space="preserve">Framework Convention on Tobacco Control (FCTC) </w:t>
                            </w:r>
                            <w:r w:rsidR="00763FEF" w:rsidRPr="00B830BE">
                              <w:rPr>
                                <w:b/>
                                <w:bCs/>
                                <w:sz w:val="20"/>
                                <w:szCs w:val="20"/>
                                <w:lang w:val="en-US"/>
                              </w:rPr>
                              <w:t xml:space="preserve">COP6 DECISION 6(17) </w:t>
                            </w:r>
                          </w:p>
                          <w:p w:rsidR="00763FEF" w:rsidRPr="00B830BE" w:rsidRDefault="00763FEF" w:rsidP="00B830BE">
                            <w:pPr>
                              <w:spacing w:after="0" w:line="240" w:lineRule="auto"/>
                              <w:rPr>
                                <w:sz w:val="20"/>
                                <w:szCs w:val="20"/>
                                <w:lang w:val="en-US"/>
                              </w:rPr>
                            </w:pPr>
                            <w:r w:rsidRPr="00B830BE">
                              <w:rPr>
                                <w:sz w:val="20"/>
                                <w:szCs w:val="20"/>
                                <w:lang w:val="en-US"/>
                              </w:rPr>
                              <w:t xml:space="preserve">In October 2014, the Convention Secretariat, WHO, UNDP and the World Bank were requested: </w:t>
                            </w:r>
                          </w:p>
                          <w:p w:rsidR="00763FEF" w:rsidRPr="00B830BE" w:rsidRDefault="00763FEF" w:rsidP="00B830BE">
                            <w:pPr>
                              <w:spacing w:after="0" w:line="240" w:lineRule="auto"/>
                              <w:rPr>
                                <w:sz w:val="20"/>
                                <w:szCs w:val="20"/>
                                <w:lang w:val="en-US"/>
                              </w:rPr>
                            </w:pPr>
                            <w:r w:rsidRPr="00B830BE">
                              <w:rPr>
                                <w:sz w:val="20"/>
                                <w:szCs w:val="20"/>
                                <w:lang w:val="en-US"/>
                              </w:rPr>
                              <w:t xml:space="preserve">(i) to continue to develop </w:t>
                            </w:r>
                            <w:r w:rsidRPr="00B830BE">
                              <w:rPr>
                                <w:b/>
                                <w:bCs/>
                                <w:sz w:val="20"/>
                                <w:szCs w:val="20"/>
                                <w:lang w:val="en-US"/>
                              </w:rPr>
                              <w:t xml:space="preserve">comprehensive tools to cost WHO FCTC implementation </w:t>
                            </w:r>
                            <w:r w:rsidRPr="00B830BE">
                              <w:rPr>
                                <w:sz w:val="20"/>
                                <w:szCs w:val="20"/>
                                <w:lang w:val="en-US"/>
                              </w:rPr>
                              <w:t xml:space="preserve">and make them available to Parties to be used at country level, adapted to the national context; </w:t>
                            </w:r>
                          </w:p>
                          <w:p w:rsidR="00763FEF" w:rsidRPr="00B830BE" w:rsidRDefault="00763FEF" w:rsidP="00B830BE">
                            <w:pPr>
                              <w:spacing w:after="0" w:line="240" w:lineRule="auto"/>
                              <w:rPr>
                                <w:sz w:val="20"/>
                                <w:szCs w:val="20"/>
                                <w:lang w:val="en-US"/>
                              </w:rPr>
                            </w:pPr>
                            <w:r w:rsidRPr="00B830BE">
                              <w:rPr>
                                <w:sz w:val="20"/>
                                <w:szCs w:val="20"/>
                                <w:lang w:val="en-US"/>
                              </w:rPr>
                              <w:t xml:space="preserve">(ii) to develop and make available </w:t>
                            </w:r>
                            <w:r w:rsidRPr="00B830BE">
                              <w:rPr>
                                <w:b/>
                                <w:bCs/>
                                <w:sz w:val="20"/>
                                <w:szCs w:val="20"/>
                                <w:lang w:val="en-US"/>
                              </w:rPr>
                              <w:t xml:space="preserve">a methodological tool to assess the economic impact of tobacco use </w:t>
                            </w:r>
                            <w:r w:rsidRPr="00B830BE">
                              <w:rPr>
                                <w:sz w:val="20"/>
                                <w:szCs w:val="20"/>
                                <w:lang w:val="en-US"/>
                              </w:rPr>
                              <w:t xml:space="preserve">on the disease burden and health systems, as well as other related social, environmental and economic costs affecting poverty and development, including the health and economic costs of not controlling tobacco consumption. </w:t>
                            </w:r>
                          </w:p>
                          <w:p w:rsidR="00763FEF" w:rsidRPr="00B830BE" w:rsidRDefault="00763FEF" w:rsidP="00B830BE">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6265F" id="_x0000_s1027" type="#_x0000_t202" style="position:absolute;left:0;text-align:left;margin-left:0;margin-top:6.7pt;width:248.2pt;height:19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" fillcolor="#f2dbdb [661]">
                <v:textbox>
                  <w:txbxContent>
                    <w:p w:rsidR="00763FEF" w:rsidRPr="00B830BE" w:rsidRDefault="007C6E84" w:rsidP="00B830BE">
                      <w:pPr>
                        <w:spacing w:after="0" w:line="240" w:lineRule="auto"/>
                        <w:rPr>
                          <w:sz w:val="20"/>
                          <w:szCs w:val="20"/>
                          <w:lang w:val="en-US"/>
                        </w:rPr>
                      </w:pPr>
                      <w:r w:rsidRPr="00B830BE">
                        <w:rPr>
                          <w:b/>
                          <w:bCs/>
                          <w:sz w:val="20"/>
                          <w:szCs w:val="20"/>
                          <w:lang w:val="en-US"/>
                        </w:rPr>
                        <w:t xml:space="preserve">Framework Convention on Tobacco Control (FCTC) </w:t>
                      </w:r>
                      <w:r w:rsidR="00763FEF" w:rsidRPr="00B830BE">
                        <w:rPr>
                          <w:b/>
                          <w:bCs/>
                          <w:sz w:val="20"/>
                          <w:szCs w:val="20"/>
                          <w:lang w:val="en-US"/>
                        </w:rPr>
                        <w:t xml:space="preserve">COP6 DECISION 6(17) </w:t>
                      </w:r>
                    </w:p>
                    <w:p w:rsidR="00763FEF" w:rsidRPr="00B830BE" w:rsidRDefault="00763FEF" w:rsidP="00B830BE">
                      <w:pPr>
                        <w:spacing w:after="0" w:line="240" w:lineRule="auto"/>
                        <w:rPr>
                          <w:sz w:val="20"/>
                          <w:szCs w:val="20"/>
                          <w:lang w:val="en-US"/>
                        </w:rPr>
                      </w:pPr>
                      <w:r w:rsidRPr="00B830BE">
                        <w:rPr>
                          <w:sz w:val="20"/>
                          <w:szCs w:val="20"/>
                          <w:lang w:val="en-US"/>
                        </w:rPr>
                        <w:t xml:space="preserve">In October 2014, the Convention Secretariat, WHO, UNDP and the World Bank were requested: </w:t>
                      </w:r>
                    </w:p>
                    <w:p w:rsidR="00763FEF" w:rsidRPr="00B830BE" w:rsidRDefault="00763FEF" w:rsidP="00B830BE">
                      <w:pPr>
                        <w:spacing w:after="0" w:line="240" w:lineRule="auto"/>
                        <w:rPr>
                          <w:sz w:val="20"/>
                          <w:szCs w:val="20"/>
                          <w:lang w:val="en-US"/>
                        </w:rPr>
                      </w:pPr>
                      <w:r w:rsidRPr="00B830BE">
                        <w:rPr>
                          <w:sz w:val="20"/>
                          <w:szCs w:val="20"/>
                          <w:lang w:val="en-US"/>
                        </w:rPr>
                        <w:t xml:space="preserve">(i) to continue to develop </w:t>
                      </w:r>
                      <w:r w:rsidRPr="00B830BE">
                        <w:rPr>
                          <w:b/>
                          <w:bCs/>
                          <w:sz w:val="20"/>
                          <w:szCs w:val="20"/>
                          <w:lang w:val="en-US"/>
                        </w:rPr>
                        <w:t xml:space="preserve">comprehensive tools to cost WHO FCTC implementation </w:t>
                      </w:r>
                      <w:r w:rsidRPr="00B830BE">
                        <w:rPr>
                          <w:sz w:val="20"/>
                          <w:szCs w:val="20"/>
                          <w:lang w:val="en-US"/>
                        </w:rPr>
                        <w:t xml:space="preserve">and make them available to Parties to be used at country level, adapted to the national context; </w:t>
                      </w:r>
                    </w:p>
                    <w:p w:rsidR="00763FEF" w:rsidRPr="00B830BE" w:rsidRDefault="00763FEF" w:rsidP="00B830BE">
                      <w:pPr>
                        <w:spacing w:after="0" w:line="240" w:lineRule="auto"/>
                        <w:rPr>
                          <w:sz w:val="20"/>
                          <w:szCs w:val="20"/>
                          <w:lang w:val="en-US"/>
                        </w:rPr>
                      </w:pPr>
                      <w:r w:rsidRPr="00B830BE">
                        <w:rPr>
                          <w:sz w:val="20"/>
                          <w:szCs w:val="20"/>
                          <w:lang w:val="en-US"/>
                        </w:rPr>
                        <w:t xml:space="preserve">(ii) to develop and make available </w:t>
                      </w:r>
                      <w:r w:rsidRPr="00B830BE">
                        <w:rPr>
                          <w:b/>
                          <w:bCs/>
                          <w:sz w:val="20"/>
                          <w:szCs w:val="20"/>
                          <w:lang w:val="en-US"/>
                        </w:rPr>
                        <w:t xml:space="preserve">a methodological tool to assess the economic impact of tobacco use </w:t>
                      </w:r>
                      <w:r w:rsidRPr="00B830BE">
                        <w:rPr>
                          <w:sz w:val="20"/>
                          <w:szCs w:val="20"/>
                          <w:lang w:val="en-US"/>
                        </w:rPr>
                        <w:t xml:space="preserve">on the disease burden and health systems, as well as other related social, environmental and economic costs affecting poverty and development, including the health and economic costs of not controlling tobacco consumption. </w:t>
                      </w:r>
                    </w:p>
                    <w:p w:rsidR="00763FEF" w:rsidRPr="00B830BE" w:rsidRDefault="00763FEF" w:rsidP="00B830BE">
                      <w:pPr>
                        <w:spacing w:after="0" w:line="240" w:lineRule="auto"/>
                        <w:rPr>
                          <w:sz w:val="20"/>
                          <w:szCs w:val="20"/>
                        </w:rPr>
                      </w:pPr>
                    </w:p>
                  </w:txbxContent>
                </v:textbox>
                <w10:wrap type="square" anchorx="margin"/>
              </v:shape>
            </w:pict>
          </mc:Fallback>
        </mc:AlternateContent>
      </w:r>
      <w:r w:rsidR="00870EB4">
        <w:rPr>
          <w:lang w:val="en-US"/>
        </w:rPr>
        <w:t xml:space="preserve">The programme </w:t>
      </w:r>
      <w:r w:rsidR="0026641F" w:rsidRPr="0026641F">
        <w:rPr>
          <w:lang w:val="en-US"/>
        </w:rPr>
        <w:t xml:space="preserve">will </w:t>
      </w:r>
      <w:r w:rsidR="00870EB4">
        <w:rPr>
          <w:lang w:val="en-US"/>
        </w:rPr>
        <w:t xml:space="preserve">consist of </w:t>
      </w:r>
      <w:r w:rsidR="0026641F" w:rsidRPr="0026641F">
        <w:rPr>
          <w:lang w:val="en-US"/>
        </w:rPr>
        <w:t>three major components</w:t>
      </w:r>
      <w:r w:rsidR="00870EB4">
        <w:rPr>
          <w:lang w:val="en-US"/>
        </w:rPr>
        <w:t xml:space="preserve">: (i) </w:t>
      </w:r>
      <w:r w:rsidR="0026641F" w:rsidRPr="0026641F">
        <w:rPr>
          <w:lang w:val="en-US"/>
        </w:rPr>
        <w:t>making the business case for NCDs</w:t>
      </w:r>
      <w:r w:rsidR="00870EB4">
        <w:rPr>
          <w:lang w:val="en-US"/>
        </w:rPr>
        <w:t xml:space="preserve">; (ii) enhancing </w:t>
      </w:r>
      <w:r w:rsidR="00F763A6">
        <w:rPr>
          <w:lang w:val="en-US"/>
        </w:rPr>
        <w:t xml:space="preserve">country level mechanisms for </w:t>
      </w:r>
      <w:r w:rsidR="00870EB4">
        <w:rPr>
          <w:lang w:val="en-US"/>
        </w:rPr>
        <w:t>delivery and accountability</w:t>
      </w:r>
      <w:r w:rsidR="00F763A6">
        <w:rPr>
          <w:lang w:val="en-US"/>
        </w:rPr>
        <w:t>; and (iii)</w:t>
      </w:r>
      <w:r w:rsidR="0026641F" w:rsidRPr="0026641F">
        <w:rPr>
          <w:lang w:val="en-US"/>
        </w:rPr>
        <w:t xml:space="preserve"> engaging local government stakeholders at the municipal level within cities.</w:t>
      </w:r>
      <w:r w:rsidR="002E420A">
        <w:rPr>
          <w:rStyle w:val="FootnoteReference"/>
        </w:rPr>
        <w:footnoteReference w:id="4"/>
      </w:r>
    </w:p>
    <w:p w:rsidR="00AB1E61" w:rsidRDefault="005F5921" w:rsidP="00F86E34">
      <w:pPr>
        <w:autoSpaceDE w:val="0"/>
        <w:autoSpaceDN w:val="0"/>
        <w:adjustRightInd w:val="0"/>
        <w:spacing w:line="240" w:lineRule="auto"/>
        <w:jc w:val="both"/>
        <w:rPr>
          <w:lang w:val="en-US"/>
        </w:rPr>
      </w:pPr>
      <w:r w:rsidRPr="005439ED">
        <w:rPr>
          <w:lang w:val="en-US"/>
        </w:rPr>
        <w:t>First</w:t>
      </w:r>
      <w:r w:rsidR="00581A45" w:rsidRPr="005439ED">
        <w:rPr>
          <w:lang w:val="en-US"/>
        </w:rPr>
        <w:t xml:space="preserve">, the </w:t>
      </w:r>
      <w:r w:rsidRPr="005439ED">
        <w:rPr>
          <w:lang w:val="en-US"/>
        </w:rPr>
        <w:t xml:space="preserve">Global </w:t>
      </w:r>
      <w:r w:rsidR="00581A45" w:rsidRPr="005439ED">
        <w:rPr>
          <w:lang w:val="en-US"/>
        </w:rPr>
        <w:t xml:space="preserve">Joint Programme will </w:t>
      </w:r>
      <w:r w:rsidR="00F86E34">
        <w:rPr>
          <w:lang w:val="en-US"/>
        </w:rPr>
        <w:t xml:space="preserve">enable the three agencies support </w:t>
      </w:r>
      <w:r w:rsidR="00CA173B" w:rsidRPr="005439ED">
        <w:rPr>
          <w:lang w:val="en-US"/>
        </w:rPr>
        <w:t>Ministries of Health articulate the</w:t>
      </w:r>
      <w:r w:rsidR="009D29B3" w:rsidRPr="005439ED">
        <w:rPr>
          <w:lang w:val="en-US"/>
        </w:rPr>
        <w:t xml:space="preserve"> </w:t>
      </w:r>
      <w:r w:rsidR="00CA173B" w:rsidRPr="005439ED">
        <w:rPr>
          <w:lang w:val="en-US"/>
        </w:rPr>
        <w:t>business case for domestic investment in NCD interventions</w:t>
      </w:r>
      <w:r w:rsidR="00CA173B" w:rsidRPr="00CE5EB3">
        <w:rPr>
          <w:lang w:val="en-US"/>
        </w:rPr>
        <w:t>.</w:t>
      </w:r>
      <w:r w:rsidR="00CA173B">
        <w:rPr>
          <w:lang w:val="en-US"/>
        </w:rPr>
        <w:t xml:space="preserve"> </w:t>
      </w:r>
      <w:r w:rsidR="00F86E34">
        <w:rPr>
          <w:lang w:val="en-US"/>
        </w:rPr>
        <w:t xml:space="preserve">This has been a request that all governments have made to the UNIATF during its joint missions. </w:t>
      </w:r>
      <w:r w:rsidR="00CA173B">
        <w:rPr>
          <w:lang w:val="en-US"/>
        </w:rPr>
        <w:t xml:space="preserve">This </w:t>
      </w:r>
      <w:r w:rsidR="00F86E34">
        <w:rPr>
          <w:lang w:val="en-US"/>
        </w:rPr>
        <w:t xml:space="preserve">will </w:t>
      </w:r>
      <w:r w:rsidR="00AB1E61">
        <w:rPr>
          <w:lang w:val="en-US"/>
        </w:rPr>
        <w:t>include a</w:t>
      </w:r>
      <w:r w:rsidR="00CA173B">
        <w:rPr>
          <w:lang w:val="en-US"/>
        </w:rPr>
        <w:t xml:space="preserve"> </w:t>
      </w:r>
      <w:r w:rsidR="00A24242">
        <w:rPr>
          <w:lang w:val="en-US"/>
        </w:rPr>
        <w:t xml:space="preserve">review of existing analyses, </w:t>
      </w:r>
      <w:r w:rsidR="00CA173B">
        <w:rPr>
          <w:lang w:val="en-US"/>
        </w:rPr>
        <w:t>support in modeling cost/benefit scenarios with varying levels of financing of NCD interventions, proposal of innovative sources of financing</w:t>
      </w:r>
      <w:r w:rsidR="00BF72DE">
        <w:rPr>
          <w:lang w:val="en-US"/>
        </w:rPr>
        <w:t xml:space="preserve"> and</w:t>
      </w:r>
      <w:r w:rsidR="00CA173B">
        <w:rPr>
          <w:lang w:val="en-US"/>
        </w:rPr>
        <w:t xml:space="preserve"> convening round table discussions with the government agencies responsible for </w:t>
      </w:r>
      <w:r w:rsidR="00BF72DE">
        <w:rPr>
          <w:lang w:val="en-US"/>
        </w:rPr>
        <w:t xml:space="preserve">finance, revenue and planning. Ministries of health have </w:t>
      </w:r>
      <w:r w:rsidR="00AB1E61">
        <w:rPr>
          <w:lang w:val="en-US"/>
        </w:rPr>
        <w:t xml:space="preserve">requested </w:t>
      </w:r>
      <w:r w:rsidR="00BF72DE">
        <w:rPr>
          <w:lang w:val="en-US"/>
        </w:rPr>
        <w:t>support in communicating to their colleagues</w:t>
      </w:r>
      <w:r w:rsidR="00AB1E61">
        <w:rPr>
          <w:lang w:val="en-US"/>
        </w:rPr>
        <w:t xml:space="preserve"> in other sectors</w:t>
      </w:r>
      <w:r w:rsidR="00BF72DE">
        <w:rPr>
          <w:lang w:val="en-US"/>
        </w:rPr>
        <w:t xml:space="preserve"> the importance of </w:t>
      </w:r>
      <w:r w:rsidR="00AB1E61">
        <w:rPr>
          <w:lang w:val="en-US"/>
        </w:rPr>
        <w:t>NCD prevention and control</w:t>
      </w:r>
      <w:r w:rsidR="00BF72DE">
        <w:rPr>
          <w:lang w:val="en-US"/>
        </w:rPr>
        <w:t xml:space="preserve"> – </w:t>
      </w:r>
      <w:r w:rsidR="00AB1E61">
        <w:rPr>
          <w:lang w:val="en-US"/>
        </w:rPr>
        <w:t>using concepts and addressing the relevant objectives of other ministries, especially</w:t>
      </w:r>
      <w:r w:rsidR="00BF72DE">
        <w:rPr>
          <w:lang w:val="en-US"/>
        </w:rPr>
        <w:t xml:space="preserve"> finance officials – in order to advocate for the benefits of early investment and the costs of inaction. </w:t>
      </w:r>
      <w:r w:rsidR="00F86E34">
        <w:rPr>
          <w:lang w:val="en-US"/>
        </w:rPr>
        <w:t>While m</w:t>
      </w:r>
      <w:r w:rsidR="00AB1E61">
        <w:rPr>
          <w:lang w:val="en-US"/>
        </w:rPr>
        <w:t xml:space="preserve">inistries of health </w:t>
      </w:r>
      <w:r w:rsidR="00F86E34">
        <w:rPr>
          <w:lang w:val="en-US"/>
        </w:rPr>
        <w:t xml:space="preserve">are </w:t>
      </w:r>
      <w:r w:rsidR="00AB1E61">
        <w:rPr>
          <w:lang w:val="en-US"/>
        </w:rPr>
        <w:t>concerned with reducing consumption of unhealthy food and beverage products for example, ministries of trade, finance, industry or commerce may have objectives tied to maintaining or increasing sales, revenues or exports. These are conflicts of incentives which need identification, management and resolution</w:t>
      </w:r>
      <w:r w:rsidR="00F86E34">
        <w:rPr>
          <w:lang w:val="en-US"/>
        </w:rPr>
        <w:t xml:space="preserve"> will be better taken forward with a clear business case</w:t>
      </w:r>
      <w:r w:rsidR="00AB1E61">
        <w:rPr>
          <w:lang w:val="en-US"/>
        </w:rPr>
        <w:t>.</w:t>
      </w:r>
      <w:r w:rsidR="00F86E34">
        <w:rPr>
          <w:lang w:val="en-US"/>
        </w:rPr>
        <w:t xml:space="preserve"> This has been done successfully for one NCD risk factor to date, tobacco.</w:t>
      </w:r>
      <w:r w:rsidR="00AB1E61">
        <w:rPr>
          <w:lang w:val="en-US"/>
        </w:rPr>
        <w:t xml:space="preserve"> </w:t>
      </w:r>
    </w:p>
    <w:p w:rsidR="00581A45" w:rsidRDefault="005F5921" w:rsidP="00E85A32">
      <w:pPr>
        <w:autoSpaceDE w:val="0"/>
        <w:autoSpaceDN w:val="0"/>
        <w:adjustRightInd w:val="0"/>
        <w:spacing w:line="240" w:lineRule="auto"/>
        <w:jc w:val="both"/>
        <w:rPr>
          <w:lang w:val="en-US"/>
        </w:rPr>
      </w:pPr>
      <w:r>
        <w:rPr>
          <w:lang w:val="en-US"/>
        </w:rPr>
        <w:lastRenderedPageBreak/>
        <w:t>Second, the Global</w:t>
      </w:r>
      <w:r w:rsidR="00581A45">
        <w:rPr>
          <w:lang w:val="en-US"/>
        </w:rPr>
        <w:t xml:space="preserve"> Joint Programme will </w:t>
      </w:r>
      <w:r w:rsidR="008455EF">
        <w:rPr>
          <w:lang w:val="en-US"/>
        </w:rPr>
        <w:t xml:space="preserve">enhance cross-government mechanisms </w:t>
      </w:r>
      <w:r w:rsidR="00E85A32">
        <w:rPr>
          <w:lang w:val="en-US"/>
        </w:rPr>
        <w:t>at national level to d</w:t>
      </w:r>
      <w:r w:rsidR="008455EF">
        <w:rPr>
          <w:lang w:val="en-US"/>
        </w:rPr>
        <w:t xml:space="preserve">eliver multisectoral action </w:t>
      </w:r>
      <w:r w:rsidR="00E85A32">
        <w:rPr>
          <w:lang w:val="en-US"/>
        </w:rPr>
        <w:t xml:space="preserve">to prevent and control NCDs </w:t>
      </w:r>
      <w:r w:rsidR="008455EF">
        <w:rPr>
          <w:lang w:val="en-US"/>
        </w:rPr>
        <w:t>and strengthen accountability</w:t>
      </w:r>
      <w:r w:rsidR="00E85A32">
        <w:rPr>
          <w:lang w:val="en-US"/>
        </w:rPr>
        <w:t xml:space="preserve">. This was a key recommendation to governments that have received Joint Missions and governments are now requesting the UN to putting sustainable structure in place.  </w:t>
      </w:r>
      <w:r w:rsidR="00874822">
        <w:rPr>
          <w:lang w:val="en-US"/>
        </w:rPr>
        <w:t xml:space="preserve"> </w:t>
      </w:r>
      <w:r w:rsidR="00E85A32">
        <w:rPr>
          <w:lang w:val="en-US"/>
        </w:rPr>
        <w:t xml:space="preserve">Such mechanisms </w:t>
      </w:r>
      <w:r w:rsidR="00874822">
        <w:rPr>
          <w:lang w:val="en-US"/>
        </w:rPr>
        <w:t>will be</w:t>
      </w:r>
      <w:r w:rsidR="00CE5EB3">
        <w:rPr>
          <w:lang w:val="en-US"/>
        </w:rPr>
        <w:t>,</w:t>
      </w:r>
      <w:r w:rsidR="00874822">
        <w:rPr>
          <w:lang w:val="en-US"/>
        </w:rPr>
        <w:t xml:space="preserve"> wherever possible</w:t>
      </w:r>
      <w:r w:rsidR="00CE5EB3">
        <w:rPr>
          <w:lang w:val="en-US"/>
        </w:rPr>
        <w:t>,</w:t>
      </w:r>
      <w:r w:rsidR="00874822">
        <w:rPr>
          <w:lang w:val="en-US"/>
        </w:rPr>
        <w:t xml:space="preserve"> integrated within exiting health or multisectoral coordination mechanisms</w:t>
      </w:r>
      <w:r w:rsidR="00E85A32">
        <w:rPr>
          <w:lang w:val="en-US"/>
        </w:rPr>
        <w:t xml:space="preserve"> and </w:t>
      </w:r>
      <w:r w:rsidR="009B7251">
        <w:rPr>
          <w:lang w:val="en-US"/>
        </w:rPr>
        <w:t xml:space="preserve">will take forward </w:t>
      </w:r>
      <w:r w:rsidR="00E85A32">
        <w:rPr>
          <w:lang w:val="en-US"/>
        </w:rPr>
        <w:t xml:space="preserve">action to deliver multisectoral action outlined in </w:t>
      </w:r>
      <w:r w:rsidR="007A67E8">
        <w:rPr>
          <w:lang w:val="en-US"/>
        </w:rPr>
        <w:t xml:space="preserve">national multisectoral </w:t>
      </w:r>
      <w:r w:rsidR="00E85A32">
        <w:rPr>
          <w:lang w:val="en-US"/>
        </w:rPr>
        <w:t>NCD strategies, and enable</w:t>
      </w:r>
      <w:r w:rsidR="009B7251">
        <w:rPr>
          <w:lang w:val="en-US"/>
        </w:rPr>
        <w:t xml:space="preserve"> the UN </w:t>
      </w:r>
      <w:r w:rsidR="00E85A32">
        <w:rPr>
          <w:lang w:val="en-US"/>
        </w:rPr>
        <w:t xml:space="preserve">to provide support through the UN Development Assistance Framework to </w:t>
      </w:r>
      <w:r w:rsidR="009B7251">
        <w:rPr>
          <w:lang w:val="en-US"/>
        </w:rPr>
        <w:t xml:space="preserve">countries </w:t>
      </w:r>
      <w:r w:rsidR="00E85A32">
        <w:rPr>
          <w:lang w:val="en-US"/>
        </w:rPr>
        <w:t xml:space="preserve">for </w:t>
      </w:r>
      <w:r w:rsidR="007A67E8">
        <w:rPr>
          <w:lang w:val="en-US"/>
        </w:rPr>
        <w:t>develop</w:t>
      </w:r>
      <w:r w:rsidR="00E85A32">
        <w:rPr>
          <w:lang w:val="en-US"/>
        </w:rPr>
        <w:t>ing</w:t>
      </w:r>
      <w:r w:rsidR="007A67E8">
        <w:rPr>
          <w:lang w:val="en-US"/>
        </w:rPr>
        <w:t>, financ</w:t>
      </w:r>
      <w:r w:rsidR="00E85A32">
        <w:rPr>
          <w:lang w:val="en-US"/>
        </w:rPr>
        <w:t>ing</w:t>
      </w:r>
      <w:r w:rsidR="007A67E8">
        <w:rPr>
          <w:lang w:val="en-US"/>
        </w:rPr>
        <w:t>, implement</w:t>
      </w:r>
      <w:r w:rsidR="00E85A32">
        <w:rPr>
          <w:lang w:val="en-US"/>
        </w:rPr>
        <w:t>ing</w:t>
      </w:r>
      <w:r w:rsidR="007A67E8">
        <w:rPr>
          <w:lang w:val="en-US"/>
        </w:rPr>
        <w:t xml:space="preserve"> and </w:t>
      </w:r>
      <w:r w:rsidR="00E85A32">
        <w:rPr>
          <w:lang w:val="en-US"/>
        </w:rPr>
        <w:t>monitoring these strategies</w:t>
      </w:r>
      <w:r w:rsidR="009B7251">
        <w:rPr>
          <w:lang w:val="en-US"/>
        </w:rPr>
        <w:t>.</w:t>
      </w:r>
    </w:p>
    <w:p w:rsidR="005F5921" w:rsidRDefault="005F5921" w:rsidP="00E85A32">
      <w:pPr>
        <w:autoSpaceDE w:val="0"/>
        <w:autoSpaceDN w:val="0"/>
        <w:adjustRightInd w:val="0"/>
        <w:spacing w:line="240" w:lineRule="auto"/>
        <w:jc w:val="both"/>
        <w:rPr>
          <w:lang w:val="en-US"/>
        </w:rPr>
      </w:pPr>
      <w:r>
        <w:rPr>
          <w:lang w:val="en-US"/>
        </w:rPr>
        <w:t xml:space="preserve">The third component of the Global Joint Programme will help strengthen local-level </w:t>
      </w:r>
      <w:r w:rsidR="00E85A32">
        <w:rPr>
          <w:lang w:val="en-US"/>
        </w:rPr>
        <w:t xml:space="preserve">NCD action </w:t>
      </w:r>
      <w:r>
        <w:rPr>
          <w:lang w:val="en-US"/>
        </w:rPr>
        <w:t xml:space="preserve">by </w:t>
      </w:r>
      <w:r w:rsidR="009B7251">
        <w:rPr>
          <w:lang w:val="en-US"/>
        </w:rPr>
        <w:t xml:space="preserve">developing the governance and institutional capacities </w:t>
      </w:r>
      <w:r w:rsidR="009D7A55">
        <w:rPr>
          <w:lang w:val="en-US"/>
        </w:rPr>
        <w:t xml:space="preserve">of </w:t>
      </w:r>
      <w:r w:rsidR="007A67E8">
        <w:rPr>
          <w:lang w:val="en-US"/>
        </w:rPr>
        <w:t>municipal authorities</w:t>
      </w:r>
      <w:r w:rsidR="009D7A55">
        <w:rPr>
          <w:lang w:val="en-US"/>
        </w:rPr>
        <w:t xml:space="preserve"> to address NCDs</w:t>
      </w:r>
      <w:r>
        <w:rPr>
          <w:lang w:val="en-US"/>
        </w:rPr>
        <w:t xml:space="preserve">. </w:t>
      </w:r>
    </w:p>
    <w:p w:rsidR="009B7251" w:rsidRDefault="00940FA1" w:rsidP="00877FFD">
      <w:pPr>
        <w:autoSpaceDE w:val="0"/>
        <w:autoSpaceDN w:val="0"/>
        <w:adjustRightInd w:val="0"/>
        <w:spacing w:line="240" w:lineRule="auto"/>
        <w:jc w:val="both"/>
        <w:rPr>
          <w:lang w:val="en-US"/>
        </w:rPr>
      </w:pPr>
      <w:r>
        <w:rPr>
          <w:lang w:val="en-US"/>
        </w:rPr>
        <w:t xml:space="preserve">The </w:t>
      </w:r>
      <w:r w:rsidR="009B7251">
        <w:rPr>
          <w:lang w:val="en-US"/>
        </w:rPr>
        <w:t xml:space="preserve">Global </w:t>
      </w:r>
      <w:r>
        <w:rPr>
          <w:lang w:val="en-US"/>
        </w:rPr>
        <w:t xml:space="preserve">Joint Programme will </w:t>
      </w:r>
      <w:r w:rsidR="009B7251">
        <w:rPr>
          <w:lang w:val="en-US"/>
        </w:rPr>
        <w:t>target countries in all regions</w:t>
      </w:r>
      <w:r w:rsidR="00877FFD">
        <w:rPr>
          <w:lang w:val="en-US"/>
        </w:rPr>
        <w:t>, with an initial focus on countries that have hosted missions to date or are receiving missions during the remainder of 2015 (e.g. Jordan, Mozambique China and Vietnam).</w:t>
      </w:r>
      <w:r w:rsidR="00581A45">
        <w:rPr>
          <w:lang w:val="en-US"/>
        </w:rPr>
        <w:t>.</w:t>
      </w:r>
      <w:r w:rsidR="00877FFD">
        <w:rPr>
          <w:lang w:val="en-US"/>
        </w:rPr>
        <w:t xml:space="preserve"> </w:t>
      </w:r>
      <w:r w:rsidR="009B7251">
        <w:rPr>
          <w:lang w:val="en-US"/>
        </w:rPr>
        <w:t xml:space="preserve">To ensure national ownership and promote programme sustainability the Global Joint Programme will work through UN Country Teams. </w:t>
      </w:r>
    </w:p>
    <w:p w:rsidR="00581A45" w:rsidRDefault="00581A45" w:rsidP="00877FFD">
      <w:pPr>
        <w:autoSpaceDE w:val="0"/>
        <w:autoSpaceDN w:val="0"/>
        <w:adjustRightInd w:val="0"/>
        <w:spacing w:line="240" w:lineRule="auto"/>
        <w:jc w:val="both"/>
        <w:rPr>
          <w:lang w:val="en-US"/>
        </w:rPr>
      </w:pPr>
      <w:r>
        <w:rPr>
          <w:lang w:val="en-US"/>
        </w:rPr>
        <w:t xml:space="preserve">The three participating agencies </w:t>
      </w:r>
      <w:r w:rsidR="009B7251">
        <w:rPr>
          <w:lang w:val="en-US"/>
        </w:rPr>
        <w:t>are combining</w:t>
      </w:r>
      <w:r>
        <w:rPr>
          <w:lang w:val="en-US"/>
        </w:rPr>
        <w:t xml:space="preserve"> efforts in order to capitalize on each of their mandates and areas of expertise. </w:t>
      </w:r>
      <w:r w:rsidR="009B7251">
        <w:rPr>
          <w:lang w:val="en-US"/>
        </w:rPr>
        <w:t>WHO</w:t>
      </w:r>
      <w:r w:rsidR="00877FFD">
        <w:rPr>
          <w:lang w:val="en-US"/>
        </w:rPr>
        <w:t xml:space="preserve">, </w:t>
      </w:r>
      <w:r>
        <w:rPr>
          <w:lang w:val="en-US"/>
        </w:rPr>
        <w:t xml:space="preserve">as Secretariat of </w:t>
      </w:r>
      <w:r w:rsidR="0032044F">
        <w:rPr>
          <w:lang w:val="en-US"/>
        </w:rPr>
        <w:t>the UNIATF</w:t>
      </w:r>
      <w:r w:rsidR="00877FFD">
        <w:rPr>
          <w:lang w:val="en-US"/>
        </w:rPr>
        <w:t xml:space="preserve">, </w:t>
      </w:r>
      <w:r w:rsidR="0032044F">
        <w:rPr>
          <w:lang w:val="en-US"/>
        </w:rPr>
        <w:t xml:space="preserve">will </w:t>
      </w:r>
      <w:r w:rsidR="009B7251">
        <w:rPr>
          <w:lang w:val="en-US"/>
        </w:rPr>
        <w:t xml:space="preserve">combine </w:t>
      </w:r>
      <w:r w:rsidR="0032044F">
        <w:rPr>
          <w:lang w:val="en-US"/>
        </w:rPr>
        <w:t xml:space="preserve">its convening role </w:t>
      </w:r>
      <w:r w:rsidR="009B7251">
        <w:rPr>
          <w:lang w:val="en-US"/>
        </w:rPr>
        <w:t xml:space="preserve">with </w:t>
      </w:r>
      <w:r w:rsidR="0032044F">
        <w:rPr>
          <w:lang w:val="en-US"/>
        </w:rPr>
        <w:t>its</w:t>
      </w:r>
      <w:r w:rsidR="009B7251">
        <w:rPr>
          <w:lang w:val="en-US"/>
        </w:rPr>
        <w:t xml:space="preserve"> technical expertise in health</w:t>
      </w:r>
      <w:r w:rsidR="0032044F">
        <w:rPr>
          <w:lang w:val="en-US"/>
        </w:rPr>
        <w:t xml:space="preserve">. UNDP will be able to leverage its </w:t>
      </w:r>
      <w:r w:rsidR="009D7A55">
        <w:rPr>
          <w:lang w:val="en-US"/>
        </w:rPr>
        <w:t xml:space="preserve">experience </w:t>
      </w:r>
      <w:r w:rsidR="0032044F">
        <w:rPr>
          <w:lang w:val="en-US"/>
        </w:rPr>
        <w:t xml:space="preserve">in multisectoral coordination and </w:t>
      </w:r>
      <w:r w:rsidR="009D7A55">
        <w:rPr>
          <w:lang w:val="en-US"/>
        </w:rPr>
        <w:t>its role as custodian of the UN Resident Coordinator system</w:t>
      </w:r>
      <w:r w:rsidR="0032044F">
        <w:rPr>
          <w:lang w:val="en-US"/>
        </w:rPr>
        <w:t>. The World Bank</w:t>
      </w:r>
      <w:r w:rsidR="009D7A55">
        <w:rPr>
          <w:lang w:val="en-US"/>
        </w:rPr>
        <w:t xml:space="preserve"> will bring its expertise on national financing and </w:t>
      </w:r>
      <w:r w:rsidR="009B7251">
        <w:rPr>
          <w:lang w:val="en-US"/>
        </w:rPr>
        <w:t>governance</w:t>
      </w:r>
      <w:r w:rsidR="00877FFD" w:rsidRPr="00877FFD">
        <w:rPr>
          <w:lang w:val="en-US"/>
        </w:rPr>
        <w:t xml:space="preserve"> </w:t>
      </w:r>
      <w:r w:rsidR="00877FFD">
        <w:rPr>
          <w:lang w:val="en-US"/>
        </w:rPr>
        <w:t>to the partnership</w:t>
      </w:r>
      <w:r w:rsidR="009D7A55">
        <w:rPr>
          <w:lang w:val="en-US"/>
        </w:rPr>
        <w:t xml:space="preserve">. </w:t>
      </w:r>
    </w:p>
    <w:p w:rsidR="00D2188B" w:rsidRDefault="009D7A55" w:rsidP="00877FFD">
      <w:pPr>
        <w:autoSpaceDE w:val="0"/>
        <w:autoSpaceDN w:val="0"/>
        <w:adjustRightInd w:val="0"/>
        <w:spacing w:line="240" w:lineRule="auto"/>
        <w:jc w:val="both"/>
        <w:rPr>
          <w:lang w:val="en-US"/>
        </w:rPr>
      </w:pPr>
      <w:r>
        <w:rPr>
          <w:lang w:val="en-US"/>
        </w:rPr>
        <w:t xml:space="preserve">The participating agencies work in close collaboration on NCDs and in 2014 </w:t>
      </w:r>
      <w:r w:rsidR="006B224D">
        <w:rPr>
          <w:lang w:val="en-US"/>
        </w:rPr>
        <w:t>reached a</w:t>
      </w:r>
      <w:r w:rsidR="000572CD">
        <w:rPr>
          <w:lang w:val="en-US"/>
        </w:rPr>
        <w:t xml:space="preserve"> formal</w:t>
      </w:r>
      <w:r w:rsidR="00CE5EB3">
        <w:rPr>
          <w:lang w:val="en-US"/>
        </w:rPr>
        <w:t xml:space="preserve"> </w:t>
      </w:r>
      <w:r w:rsidR="006B224D">
        <w:rPr>
          <w:lang w:val="en-US"/>
        </w:rPr>
        <w:t xml:space="preserve">agreement </w:t>
      </w:r>
      <w:r>
        <w:rPr>
          <w:lang w:val="en-US"/>
        </w:rPr>
        <w:t xml:space="preserve">outlining steps to strengthen their </w:t>
      </w:r>
      <w:r w:rsidR="00877FFD">
        <w:rPr>
          <w:lang w:val="en-US"/>
        </w:rPr>
        <w:t xml:space="preserve">joint action </w:t>
      </w:r>
      <w:r>
        <w:rPr>
          <w:lang w:val="en-US"/>
        </w:rPr>
        <w:t>on NCDs</w:t>
      </w:r>
      <w:r w:rsidR="005F5921">
        <w:rPr>
          <w:lang w:val="en-US"/>
        </w:rPr>
        <w:t>.</w:t>
      </w:r>
      <w:r w:rsidR="00F36029">
        <w:rPr>
          <w:rStyle w:val="FootnoteReference"/>
          <w:lang w:val="en-US"/>
        </w:rPr>
        <w:footnoteReference w:id="5"/>
      </w:r>
      <w:r w:rsidR="005F5921">
        <w:rPr>
          <w:lang w:val="en-US"/>
        </w:rPr>
        <w:t xml:space="preserve"> </w:t>
      </w:r>
    </w:p>
    <w:p w:rsidR="009D7A55" w:rsidRPr="000A2D17" w:rsidRDefault="009D7A55" w:rsidP="00D2188B">
      <w:pPr>
        <w:pStyle w:val="Heading1"/>
        <w:jc w:val="both"/>
        <w:rPr>
          <w:rFonts w:asciiTheme="minorHAnsi" w:hAnsiTheme="minorHAnsi"/>
          <w:lang w:val="en-US"/>
        </w:rPr>
      </w:pPr>
      <w:r>
        <w:rPr>
          <w:lang w:val="en-US"/>
        </w:rPr>
        <w:t xml:space="preserve">Component 1: </w:t>
      </w:r>
      <w:r w:rsidR="00BF72DE">
        <w:rPr>
          <w:lang w:val="en-US"/>
        </w:rPr>
        <w:t xml:space="preserve">Making the </w:t>
      </w:r>
      <w:r w:rsidR="00CE5EB3">
        <w:rPr>
          <w:lang w:val="en-US"/>
        </w:rPr>
        <w:t xml:space="preserve">Investment </w:t>
      </w:r>
      <w:r w:rsidR="00BF72DE">
        <w:rPr>
          <w:lang w:val="en-US"/>
        </w:rPr>
        <w:t>Case for NCD</w:t>
      </w:r>
      <w:r w:rsidR="00CE5EB3">
        <w:rPr>
          <w:lang w:val="en-US"/>
        </w:rPr>
        <w:t xml:space="preserve"> Prevention and Control</w:t>
      </w:r>
    </w:p>
    <w:p w:rsidR="00A24242" w:rsidRDefault="00A24242" w:rsidP="00D2188B">
      <w:pPr>
        <w:autoSpaceDE w:val="0"/>
        <w:autoSpaceDN w:val="0"/>
        <w:adjustRightInd w:val="0"/>
        <w:spacing w:after="0" w:line="240" w:lineRule="auto"/>
        <w:jc w:val="both"/>
        <w:rPr>
          <w:lang w:val="en-US"/>
        </w:rPr>
      </w:pPr>
      <w:r w:rsidRPr="00D2188B">
        <w:t>NCDs pose a substantial burden on countries’ economies. A study conducted in 201</w:t>
      </w:r>
      <w:r w:rsidR="006B3F6F" w:rsidRPr="00D2188B">
        <w:t>1</w:t>
      </w:r>
      <w:r w:rsidRPr="00D2188B">
        <w:t xml:space="preserve"> estimated that the cumulative output loss generated by cardiovascular disease, chronic respiratory disease, cancer, diabetes and mental health </w:t>
      </w:r>
      <w:r w:rsidR="006B3F6F" w:rsidRPr="00D2188B">
        <w:t>for the next</w:t>
      </w:r>
      <w:r w:rsidRPr="00D2188B">
        <w:t xml:space="preserve"> 20 years </w:t>
      </w:r>
      <w:r w:rsidR="006B3F6F" w:rsidRPr="00D2188B">
        <w:t xml:space="preserve">would </w:t>
      </w:r>
      <w:r w:rsidRPr="00D2188B">
        <w:t>amount to US$ 47 trillion, that is</w:t>
      </w:r>
      <w:r w:rsidR="006B3F6F" w:rsidRPr="00D2188B">
        <w:t>,</w:t>
      </w:r>
      <w:r w:rsidRPr="00D2188B">
        <w:t xml:space="preserve"> 75% of global GDP in 2010</w:t>
      </w:r>
      <w:r w:rsidRPr="00D2188B">
        <w:rPr>
          <w:rStyle w:val="FootnoteReference"/>
          <w:rFonts w:cs="HelveticaNeue-Light"/>
        </w:rPr>
        <w:footnoteReference w:id="6"/>
      </w:r>
      <w:r w:rsidRPr="00D2188B">
        <w:rPr>
          <w:rFonts w:cs="HelveticaNeue-Light"/>
        </w:rPr>
        <w:t xml:space="preserve">. </w:t>
      </w:r>
      <w:r w:rsidR="006B3F6F" w:rsidRPr="00D2188B">
        <w:rPr>
          <w:rFonts w:cs="HelveticaNeue-Light"/>
        </w:rPr>
        <w:t xml:space="preserve">This </w:t>
      </w:r>
      <w:r w:rsidR="00F07EAD" w:rsidRPr="00D2188B">
        <w:rPr>
          <w:rFonts w:cs="HelveticaNeue-Light"/>
        </w:rPr>
        <w:t xml:space="preserve">is </w:t>
      </w:r>
      <w:r w:rsidR="006B3F6F" w:rsidRPr="00D2188B">
        <w:rPr>
          <w:rFonts w:cs="HelveticaNeue-Light"/>
        </w:rPr>
        <w:t xml:space="preserve">a major challenge </w:t>
      </w:r>
      <w:r w:rsidR="008B5FBF" w:rsidRPr="00D2188B">
        <w:rPr>
          <w:rFonts w:cs="HelveticaNeue-Light"/>
        </w:rPr>
        <w:t xml:space="preserve">when </w:t>
      </w:r>
      <w:r w:rsidR="006B3F6F" w:rsidRPr="00D2188B">
        <w:rPr>
          <w:rFonts w:cs="HelveticaNeue-Light"/>
        </w:rPr>
        <w:t>consider</w:t>
      </w:r>
      <w:r w:rsidR="008B5FBF" w:rsidRPr="00D2188B">
        <w:rPr>
          <w:rFonts w:cs="HelveticaNeue-Light"/>
        </w:rPr>
        <w:t>ing</w:t>
      </w:r>
      <w:r w:rsidR="006B3F6F" w:rsidRPr="00D2188B">
        <w:rPr>
          <w:rFonts w:cs="HelveticaNeue-Light"/>
        </w:rPr>
        <w:t xml:space="preserve"> that 90% of premature deaths due to NCDs occur in developing countries, </w:t>
      </w:r>
      <w:r w:rsidR="008B5FBF" w:rsidRPr="00D2188B">
        <w:rPr>
          <w:rFonts w:cs="HelveticaNeue-Light"/>
        </w:rPr>
        <w:t xml:space="preserve">which are already </w:t>
      </w:r>
      <w:r w:rsidR="006B3F6F" w:rsidRPr="00D2188B">
        <w:rPr>
          <w:rFonts w:cs="HelveticaNeue-Light"/>
        </w:rPr>
        <w:t xml:space="preserve">struggling to </w:t>
      </w:r>
      <w:r w:rsidR="00F07EAD" w:rsidRPr="00D2188B">
        <w:rPr>
          <w:rFonts w:cs="HelveticaNeue-Light"/>
        </w:rPr>
        <w:t>improve their economic development</w:t>
      </w:r>
      <w:r w:rsidR="006B3F6F" w:rsidRPr="00D2188B">
        <w:rPr>
          <w:rFonts w:cs="HelveticaNeue-Light"/>
        </w:rPr>
        <w:t xml:space="preserve">. The good news is that interventions to prevent and control NCDs exist and they are not costly. The </w:t>
      </w:r>
      <w:r w:rsidR="006B3F6F" w:rsidRPr="00D2188B">
        <w:t>estimated cost of delivering essential NCD interventions in low-income settings amounted to 1-3$ per head per annum</w:t>
      </w:r>
      <w:r w:rsidR="006B3F6F" w:rsidRPr="00D2188B">
        <w:rPr>
          <w:rStyle w:val="FootnoteReference"/>
        </w:rPr>
        <w:footnoteReference w:id="7"/>
      </w:r>
      <w:r w:rsidR="006B3F6F" w:rsidRPr="00D2188B">
        <w:t>.</w:t>
      </w:r>
      <w:r w:rsidR="00F07EAD" w:rsidRPr="00D2188B">
        <w:t xml:space="preserve"> Yet, the needed funds may be missing </w:t>
      </w:r>
      <w:r w:rsidR="00D972A8" w:rsidRPr="00D2188B">
        <w:t xml:space="preserve">at country level either because of competing priorities and budgets already stretched </w:t>
      </w:r>
      <w:r w:rsidR="00F07EAD" w:rsidRPr="00D2188B">
        <w:t xml:space="preserve"> </w:t>
      </w:r>
      <w:r w:rsidR="00D972A8" w:rsidRPr="00D2188B">
        <w:t xml:space="preserve">to cover those </w:t>
      </w:r>
      <w:r w:rsidR="00F07EAD" w:rsidRPr="00D2188B">
        <w:t xml:space="preserve">or lack of </w:t>
      </w:r>
      <w:r w:rsidR="00D972A8" w:rsidRPr="00D2188B">
        <w:t>political</w:t>
      </w:r>
      <w:r w:rsidR="00F07EAD" w:rsidRPr="00D2188B">
        <w:t xml:space="preserve"> </w:t>
      </w:r>
      <w:r w:rsidR="00D972A8" w:rsidRPr="00D2188B">
        <w:t xml:space="preserve">recognition of the breadth of the problem </w:t>
      </w:r>
      <w:r w:rsidR="001D623B" w:rsidRPr="00D2188B">
        <w:t>along with scarce evidence available at country level</w:t>
      </w:r>
      <w:r w:rsidR="00D972A8" w:rsidRPr="00D2188B">
        <w:t xml:space="preserve">. </w:t>
      </w:r>
      <w:r w:rsidR="00405E89" w:rsidRPr="00D2188B">
        <w:t>This component will help countries collect</w:t>
      </w:r>
      <w:r w:rsidR="00D972A8" w:rsidRPr="00D2188B">
        <w:t xml:space="preserve"> </w:t>
      </w:r>
      <w:r w:rsidR="00405E89" w:rsidRPr="00D2188B">
        <w:t xml:space="preserve">and produce </w:t>
      </w:r>
      <w:r w:rsidR="00D972A8" w:rsidRPr="00D2188B">
        <w:t xml:space="preserve">data and evidence to assess the </w:t>
      </w:r>
      <w:r w:rsidR="00405E89" w:rsidRPr="00D2188B">
        <w:t xml:space="preserve">burden of NCDs </w:t>
      </w:r>
      <w:r w:rsidR="00D972A8" w:rsidRPr="00D2188B">
        <w:t xml:space="preserve">along with mapping existing resources </w:t>
      </w:r>
      <w:r w:rsidR="001D623B" w:rsidRPr="00D2188B">
        <w:t xml:space="preserve">and possibilities to generate additional ones. </w:t>
      </w:r>
    </w:p>
    <w:p w:rsidR="0011766D" w:rsidRDefault="0011766D" w:rsidP="00D2188B">
      <w:pPr>
        <w:autoSpaceDE w:val="0"/>
        <w:autoSpaceDN w:val="0"/>
        <w:adjustRightInd w:val="0"/>
        <w:spacing w:after="0" w:line="240" w:lineRule="auto"/>
        <w:jc w:val="both"/>
        <w:rPr>
          <w:lang w:val="en-US"/>
        </w:rPr>
      </w:pPr>
    </w:p>
    <w:p w:rsidR="000A0ECA" w:rsidRPr="000A0ECA" w:rsidRDefault="000A0ECA" w:rsidP="007C6E84">
      <w:pPr>
        <w:autoSpaceDE w:val="0"/>
        <w:autoSpaceDN w:val="0"/>
        <w:adjustRightInd w:val="0"/>
        <w:spacing w:after="0" w:line="240" w:lineRule="auto"/>
        <w:jc w:val="both"/>
        <w:rPr>
          <w:lang w:val="en-US"/>
        </w:rPr>
      </w:pPr>
      <w:r w:rsidRPr="000A0ECA">
        <w:rPr>
          <w:lang w:val="en-US"/>
        </w:rPr>
        <w:lastRenderedPageBreak/>
        <w:t xml:space="preserve">At global level, the business case for investing in NCD prevention and control was clearly made in 2011 by WHO, as well as the costs of infection. These global figures are valuable for giving an order of magnitude to the potential economic, financial, and health impacts, and for political declarations. However, their utility for the political dialogue at national or subnational level is somewhat limited, as policy makers and politicians are often more interested in what gains NCD prevention and control could bring to their respective countries or areas of responsibility.  </w:t>
      </w:r>
    </w:p>
    <w:p w:rsidR="00CE5EB3" w:rsidRPr="000A0ECA" w:rsidRDefault="00CE5EB3" w:rsidP="000A0ECA">
      <w:pPr>
        <w:autoSpaceDE w:val="0"/>
        <w:autoSpaceDN w:val="0"/>
        <w:adjustRightInd w:val="0"/>
        <w:spacing w:after="0" w:line="240" w:lineRule="auto"/>
        <w:jc w:val="both"/>
        <w:rPr>
          <w:lang w:val="en-US"/>
        </w:rPr>
      </w:pPr>
    </w:p>
    <w:p w:rsidR="007C6E84" w:rsidRDefault="000A0ECA" w:rsidP="00D23127">
      <w:pPr>
        <w:spacing w:line="240" w:lineRule="auto"/>
        <w:jc w:val="both"/>
        <w:rPr>
          <w:lang w:val="en-US"/>
        </w:rPr>
      </w:pPr>
      <w:r w:rsidRPr="000A0ECA">
        <w:rPr>
          <w:lang w:val="en-US"/>
        </w:rPr>
        <w:t>The program</w:t>
      </w:r>
      <w:r w:rsidR="00CE5EB3">
        <w:rPr>
          <w:lang w:val="en-US"/>
        </w:rPr>
        <w:t>me</w:t>
      </w:r>
      <w:r w:rsidRPr="000A0ECA">
        <w:rPr>
          <w:lang w:val="en-US"/>
        </w:rPr>
        <w:t xml:space="preserve"> will use a mix of case studies and guidance notes to help ministries of health make the case for NCD control. Where investments in NCD prevention and control are already taking place, the program</w:t>
      </w:r>
      <w:r w:rsidR="00CE5EB3">
        <w:rPr>
          <w:lang w:val="en-US"/>
        </w:rPr>
        <w:t>me</w:t>
      </w:r>
      <w:r w:rsidRPr="000A0ECA">
        <w:rPr>
          <w:lang w:val="en-US"/>
        </w:rPr>
        <w:t xml:space="preserve"> will help calculate the social rate of return on those investments and model potential returns if policies were optimized or expanded. Some of those examples could be presented in a series of case studies to be shared with other countries.  In addition</w:t>
      </w:r>
      <w:r w:rsidR="00CE5EB3">
        <w:rPr>
          <w:lang w:val="en-US"/>
        </w:rPr>
        <w:t>,</w:t>
      </w:r>
      <w:r w:rsidRPr="000A0ECA">
        <w:rPr>
          <w:lang w:val="en-US"/>
        </w:rPr>
        <w:t xml:space="preserve"> the program</w:t>
      </w:r>
      <w:r w:rsidR="00CE5EB3">
        <w:rPr>
          <w:lang w:val="en-US"/>
        </w:rPr>
        <w:t>me</w:t>
      </w:r>
      <w:r w:rsidRPr="000A0ECA">
        <w:rPr>
          <w:lang w:val="en-US"/>
        </w:rPr>
        <w:t xml:space="preserve"> will develop a guidance note/methodology to calculate comparative ROI on various interventions given a specific epidemiological and age profile, underlining causes and risk factors for the NCD burden, and service models. </w:t>
      </w:r>
    </w:p>
    <w:p w:rsidR="00CE5EB3" w:rsidRPr="00D23127" w:rsidRDefault="00D23127" w:rsidP="00D23127">
      <w:pPr>
        <w:pStyle w:val="Heading1"/>
        <w:spacing w:line="240" w:lineRule="auto"/>
        <w:jc w:val="both"/>
        <w:rPr>
          <w:rFonts w:asciiTheme="minorHAnsi" w:hAnsiTheme="minorHAnsi"/>
          <w:color w:val="auto"/>
          <w:sz w:val="22"/>
          <w:szCs w:val="22"/>
          <w:lang w:val="en-US"/>
        </w:rPr>
      </w:pPr>
      <w:r w:rsidRPr="00D23127">
        <w:rPr>
          <w:rFonts w:asciiTheme="minorHAnsi" w:hAnsiTheme="minorHAnsi"/>
          <w:color w:val="auto"/>
          <w:sz w:val="22"/>
          <w:szCs w:val="22"/>
          <w:lang w:val="en-US"/>
        </w:rPr>
        <w:t>I</w:t>
      </w:r>
      <w:r w:rsidR="007C6E84" w:rsidRPr="00D23127">
        <w:rPr>
          <w:rFonts w:asciiTheme="minorHAnsi" w:hAnsiTheme="minorHAnsi"/>
          <w:color w:val="auto"/>
          <w:sz w:val="22"/>
          <w:szCs w:val="22"/>
          <w:lang w:val="en-US"/>
        </w:rPr>
        <w:t>nvestment cases may ne</w:t>
      </w:r>
      <w:r w:rsidRPr="00D23127">
        <w:rPr>
          <w:rFonts w:asciiTheme="minorHAnsi" w:hAnsiTheme="minorHAnsi"/>
          <w:color w:val="auto"/>
          <w:sz w:val="22"/>
          <w:szCs w:val="22"/>
          <w:lang w:val="en-US"/>
        </w:rPr>
        <w:t>e</w:t>
      </w:r>
      <w:r w:rsidR="007C6E84" w:rsidRPr="00D23127">
        <w:rPr>
          <w:rFonts w:asciiTheme="minorHAnsi" w:hAnsiTheme="minorHAnsi"/>
          <w:color w:val="auto"/>
          <w:sz w:val="22"/>
          <w:szCs w:val="22"/>
          <w:lang w:val="en-US"/>
        </w:rPr>
        <w:t>d to be adapted to different parts of the planning cycle</w:t>
      </w:r>
      <w:r w:rsidRPr="00D23127">
        <w:rPr>
          <w:rFonts w:asciiTheme="minorHAnsi" w:hAnsiTheme="minorHAnsi"/>
          <w:color w:val="auto"/>
          <w:sz w:val="22"/>
          <w:szCs w:val="22"/>
          <w:lang w:val="en-US"/>
        </w:rPr>
        <w:t xml:space="preserve"> and for varying country contexts. Investment cases may be apposite for situation analyses, plan development and costing, resource mobilization or budgeting processes. All of these may need distinct forms of information and their own rationale. Different risk factors may also be weighted differently in different settings according to disease burden and this may affect the inputs and targets for investment case types. </w:t>
      </w:r>
    </w:p>
    <w:p w:rsidR="009D7A55" w:rsidRDefault="009D7A55" w:rsidP="002443E5">
      <w:pPr>
        <w:pStyle w:val="Heading1"/>
        <w:jc w:val="both"/>
        <w:rPr>
          <w:lang w:val="en-US"/>
        </w:rPr>
      </w:pPr>
      <w:r>
        <w:rPr>
          <w:lang w:val="en-US"/>
        </w:rPr>
        <w:t xml:space="preserve">Component 2: </w:t>
      </w:r>
      <w:r w:rsidR="002443E5">
        <w:rPr>
          <w:lang w:val="en-US"/>
        </w:rPr>
        <w:t>E</w:t>
      </w:r>
      <w:r w:rsidR="002443E5" w:rsidRPr="002443E5">
        <w:rPr>
          <w:lang w:val="en-US"/>
        </w:rPr>
        <w:t>nhancing country level mechanisms for delivery and accountability</w:t>
      </w:r>
    </w:p>
    <w:p w:rsidR="00F11B0D" w:rsidRPr="0026641F" w:rsidRDefault="00A6108C" w:rsidP="0026641F">
      <w:pPr>
        <w:autoSpaceDE w:val="0"/>
        <w:autoSpaceDN w:val="0"/>
        <w:adjustRightInd w:val="0"/>
        <w:spacing w:line="240" w:lineRule="auto"/>
        <w:jc w:val="both"/>
        <w:rPr>
          <w:lang w:val="en-US"/>
        </w:rPr>
      </w:pPr>
      <w:r>
        <w:rPr>
          <w:lang w:val="en-US"/>
        </w:rPr>
        <w:t xml:space="preserve">Both the 2011 Political Declaration and the Global Action Plan 2013-2020 incorporate multisectoral engagement as an essential element of national NCD </w:t>
      </w:r>
      <w:r w:rsidR="0026641F">
        <w:rPr>
          <w:lang w:val="en-US"/>
        </w:rPr>
        <w:t xml:space="preserve">(and tobacco control) </w:t>
      </w:r>
      <w:r>
        <w:rPr>
          <w:lang w:val="en-US"/>
        </w:rPr>
        <w:t xml:space="preserve">responses. </w:t>
      </w:r>
      <w:r w:rsidR="00F11B0D">
        <w:rPr>
          <w:lang w:val="en-US"/>
        </w:rPr>
        <w:t>Among the specific commitments made at the high-level meeting were to enhance NCD governance by considering establishing national multisectoral mechanisms for engagement, policy coherence and mutual accountability to act on the social and environmental determinants of NCDs.</w:t>
      </w:r>
      <w:r w:rsidR="00F11B0D">
        <w:rPr>
          <w:rStyle w:val="FootnoteReference"/>
          <w:lang w:val="en-US"/>
        </w:rPr>
        <w:footnoteReference w:id="8"/>
      </w:r>
      <w:r w:rsidR="00F11B0D">
        <w:rPr>
          <w:lang w:val="en-US"/>
        </w:rPr>
        <w:t xml:space="preserve">   </w:t>
      </w:r>
    </w:p>
    <w:p w:rsidR="00392412" w:rsidRDefault="00A6108C" w:rsidP="002443E5">
      <w:pPr>
        <w:autoSpaceDE w:val="0"/>
        <w:autoSpaceDN w:val="0"/>
        <w:adjustRightInd w:val="0"/>
        <w:spacing w:line="240" w:lineRule="auto"/>
        <w:jc w:val="both"/>
        <w:rPr>
          <w:lang w:val="en-US"/>
        </w:rPr>
      </w:pPr>
      <w:r>
        <w:rPr>
          <w:lang w:val="en-US"/>
        </w:rPr>
        <w:t>Yet</w:t>
      </w:r>
      <w:r w:rsidR="002914A7">
        <w:rPr>
          <w:lang w:val="en-US"/>
        </w:rPr>
        <w:t>,</w:t>
      </w:r>
      <w:r>
        <w:rPr>
          <w:lang w:val="en-US"/>
        </w:rPr>
        <w:t xml:space="preserve"> many countries have had challenges in establishing and sustaining multisectoral NCD </w:t>
      </w:r>
      <w:r w:rsidR="0026641F">
        <w:rPr>
          <w:lang w:val="en-US"/>
        </w:rPr>
        <w:t xml:space="preserve">or tobacco control </w:t>
      </w:r>
      <w:r>
        <w:rPr>
          <w:lang w:val="en-US"/>
        </w:rPr>
        <w:t xml:space="preserve">coordination mechanisms. This Global Joint Programme will aim to help countries establish or strengthen mechanisms </w:t>
      </w:r>
      <w:r w:rsidR="002443E5">
        <w:rPr>
          <w:lang w:val="en-US"/>
        </w:rPr>
        <w:t xml:space="preserve">to coordinate delivery and accountability </w:t>
      </w:r>
      <w:r>
        <w:rPr>
          <w:lang w:val="en-US"/>
        </w:rPr>
        <w:t>that</w:t>
      </w:r>
      <w:r w:rsidR="002443E5">
        <w:rPr>
          <w:lang w:val="en-US"/>
        </w:rPr>
        <w:t xml:space="preserve"> enable a whole of government and whole of society response to NCDs</w:t>
      </w:r>
      <w:r w:rsidR="00392412">
        <w:rPr>
          <w:lang w:val="en-US"/>
        </w:rPr>
        <w:t xml:space="preserve">. The </w:t>
      </w:r>
      <w:r w:rsidR="002443E5">
        <w:rPr>
          <w:lang w:val="en-US"/>
        </w:rPr>
        <w:t xml:space="preserve">Joint </w:t>
      </w:r>
      <w:r w:rsidR="00392412">
        <w:rPr>
          <w:lang w:val="en-US"/>
        </w:rPr>
        <w:t xml:space="preserve">Programme will </w:t>
      </w:r>
      <w:r w:rsidR="002443E5">
        <w:rPr>
          <w:lang w:val="en-US"/>
        </w:rPr>
        <w:t xml:space="preserve">provide support to governments in setting up such mechanisms, how to protect them from undue influence of vested interests and </w:t>
      </w:r>
      <w:r w:rsidR="00392412">
        <w:rPr>
          <w:lang w:val="en-US"/>
        </w:rPr>
        <w:t xml:space="preserve">collect and share </w:t>
      </w:r>
      <w:r w:rsidR="002443E5">
        <w:rPr>
          <w:lang w:val="en-US"/>
        </w:rPr>
        <w:t xml:space="preserve">emerging </w:t>
      </w:r>
      <w:r w:rsidR="00392412">
        <w:rPr>
          <w:lang w:val="en-US"/>
        </w:rPr>
        <w:t xml:space="preserve">practices </w:t>
      </w:r>
      <w:r w:rsidR="002443E5">
        <w:rPr>
          <w:lang w:val="en-US"/>
        </w:rPr>
        <w:t xml:space="preserve">from a range of countries. </w:t>
      </w:r>
      <w:r w:rsidR="00392412">
        <w:rPr>
          <w:lang w:val="en-US"/>
        </w:rPr>
        <w:t xml:space="preserve">. </w:t>
      </w:r>
    </w:p>
    <w:p w:rsidR="009D7A55" w:rsidRDefault="00392412" w:rsidP="00D2188B">
      <w:pPr>
        <w:autoSpaceDE w:val="0"/>
        <w:autoSpaceDN w:val="0"/>
        <w:adjustRightInd w:val="0"/>
        <w:spacing w:line="240" w:lineRule="auto"/>
        <w:jc w:val="both"/>
        <w:rPr>
          <w:lang w:val="en-US"/>
        </w:rPr>
      </w:pPr>
      <w:r>
        <w:rPr>
          <w:lang w:val="en-US"/>
        </w:rPr>
        <w:t xml:space="preserve">This component of work will build on the existing partnership between UNDP and the WHO FCTC on strengthening national tobacco control mechanisms, </w:t>
      </w:r>
      <w:r w:rsidR="000F4345">
        <w:rPr>
          <w:lang w:val="en-US"/>
        </w:rPr>
        <w:t xml:space="preserve">in support of Parties fulfilling </w:t>
      </w:r>
      <w:r>
        <w:rPr>
          <w:lang w:val="en-US"/>
        </w:rPr>
        <w:t xml:space="preserve">Article 5.2(a) of the WHO FCTC. </w:t>
      </w:r>
    </w:p>
    <w:p w:rsidR="00322F08" w:rsidRDefault="00322F08" w:rsidP="00322F08">
      <w:pPr>
        <w:autoSpaceDE w:val="0"/>
        <w:autoSpaceDN w:val="0"/>
        <w:adjustRightInd w:val="0"/>
        <w:spacing w:line="240" w:lineRule="auto"/>
        <w:jc w:val="both"/>
        <w:rPr>
          <w:lang w:val="en-US"/>
        </w:rPr>
      </w:pPr>
      <w:r>
        <w:rPr>
          <w:lang w:val="en-US"/>
        </w:rPr>
        <w:t xml:space="preserve">This area of work will also include resources to strengthen the effectiveness of the UN system as a whole provides technical support to governments in country to deliver priorities set out in their national NCD strategic plan. </w:t>
      </w:r>
    </w:p>
    <w:p w:rsidR="009D7A55" w:rsidRDefault="009D7A55" w:rsidP="00D2188B">
      <w:pPr>
        <w:pStyle w:val="Heading1"/>
        <w:jc w:val="both"/>
        <w:rPr>
          <w:lang w:val="en-US"/>
        </w:rPr>
      </w:pPr>
      <w:r>
        <w:rPr>
          <w:lang w:val="en-US"/>
        </w:rPr>
        <w:lastRenderedPageBreak/>
        <w:t>Component 3: Cities and NCDs</w:t>
      </w:r>
    </w:p>
    <w:p w:rsidR="00334D22" w:rsidRDefault="00334D22" w:rsidP="00D2188B">
      <w:pPr>
        <w:shd w:val="clear" w:color="auto" w:fill="FFFFFF" w:themeFill="background1"/>
        <w:spacing w:line="240" w:lineRule="auto"/>
        <w:jc w:val="both"/>
      </w:pPr>
      <w:r>
        <w:rPr>
          <w:shd w:val="clear" w:color="auto" w:fill="FFFFFF" w:themeFill="background1"/>
          <w:lang w:val="en-US"/>
        </w:rPr>
        <w:t>Finally,</w:t>
      </w:r>
      <w:r w:rsidRPr="00334D22">
        <w:rPr>
          <w:shd w:val="clear" w:color="auto" w:fill="FFFFFF" w:themeFill="background1"/>
          <w:lang w:val="en-US"/>
        </w:rPr>
        <w:t xml:space="preserve"> </w:t>
      </w:r>
      <w:r w:rsidR="000F4345">
        <w:rPr>
          <w:shd w:val="clear" w:color="auto" w:fill="FFFFFF" w:themeFill="background1"/>
          <w:lang w:val="en-US"/>
        </w:rPr>
        <w:t xml:space="preserve">the </w:t>
      </w:r>
      <w:r w:rsidRPr="00334D22">
        <w:rPr>
          <w:shd w:val="clear" w:color="auto" w:fill="FFFFFF" w:themeFill="background1"/>
          <w:lang w:val="en-US"/>
        </w:rPr>
        <w:t xml:space="preserve">three agencies </w:t>
      </w:r>
      <w:r>
        <w:rPr>
          <w:shd w:val="clear" w:color="auto" w:fill="FFFFFF" w:themeFill="background1"/>
          <w:lang w:val="en-US"/>
        </w:rPr>
        <w:t xml:space="preserve">propose to respond to the emerging challenges </w:t>
      </w:r>
      <w:r w:rsidR="000F4345">
        <w:rPr>
          <w:shd w:val="clear" w:color="auto" w:fill="FFFFFF" w:themeFill="background1"/>
          <w:lang w:val="en-US"/>
        </w:rPr>
        <w:t xml:space="preserve">that </w:t>
      </w:r>
      <w:r>
        <w:rPr>
          <w:shd w:val="clear" w:color="auto" w:fill="FFFFFF" w:themeFill="background1"/>
          <w:lang w:val="en-US"/>
        </w:rPr>
        <w:t>rapid urbanization poses for NCD prevention and control. Recent UN studies have documented how urban environments can create conditions in which certain NCDs and their risk factors thrive.</w:t>
      </w:r>
      <w:r>
        <w:rPr>
          <w:rStyle w:val="FootnoteReference"/>
          <w:shd w:val="clear" w:color="auto" w:fill="FFFFFF" w:themeFill="background1"/>
          <w:lang w:val="en-US"/>
        </w:rPr>
        <w:footnoteReference w:id="9"/>
      </w:r>
      <w:r>
        <w:rPr>
          <w:shd w:val="clear" w:color="auto" w:fill="FFFFFF" w:themeFill="background1"/>
          <w:lang w:val="en-US"/>
        </w:rPr>
        <w:t xml:space="preserve"> This component aims </w:t>
      </w:r>
      <w:r w:rsidRPr="00334D22">
        <w:rPr>
          <w:shd w:val="clear" w:color="auto" w:fill="FFFFFF" w:themeFill="background1"/>
        </w:rPr>
        <w:t xml:space="preserve">to strengthen </w:t>
      </w:r>
      <w:r w:rsidRPr="00334D22">
        <w:rPr>
          <w:i/>
          <w:shd w:val="clear" w:color="auto" w:fill="FFFFFF" w:themeFill="background1"/>
        </w:rPr>
        <w:t>intersectoral NCD prevention and control approaches for urban environments</w:t>
      </w:r>
      <w:r w:rsidRPr="00334D22">
        <w:rPr>
          <w:shd w:val="clear" w:color="auto" w:fill="FFFFFF" w:themeFill="background1"/>
        </w:rPr>
        <w:t xml:space="preserve"> in lower and middle income countries</w:t>
      </w:r>
      <w:r w:rsidRPr="00DF4484">
        <w:t xml:space="preserve">. </w:t>
      </w:r>
      <w:r>
        <w:t xml:space="preserve">The methodology for this work will combine the experiences of WHO’s UrbanHEART programme and UNDP’s </w:t>
      </w:r>
      <w:r w:rsidR="00E64794">
        <w:t>Urban</w:t>
      </w:r>
      <w:r w:rsidR="00E64794" w:rsidDel="00E64794">
        <w:t xml:space="preserve"> </w:t>
      </w:r>
      <w:r w:rsidR="00E64794">
        <w:t>Health and Justice Initiative</w:t>
      </w:r>
      <w:r>
        <w:t xml:space="preserve"> The Global Joint Programme will help assist cities to understand their NCD and related health inequities situation; strengthen local coordination platforms; increase access to NCD prevention, treatment and care in cities; and improve strategic information and advocacy on NCDs.  </w:t>
      </w:r>
    </w:p>
    <w:p w:rsidR="009D7A55" w:rsidRDefault="009D7A55" w:rsidP="00D2188B">
      <w:pPr>
        <w:pStyle w:val="Heading1"/>
        <w:jc w:val="both"/>
        <w:rPr>
          <w:lang w:val="en-US"/>
        </w:rPr>
      </w:pPr>
      <w:r>
        <w:rPr>
          <w:lang w:val="en-US"/>
        </w:rPr>
        <w:t>Key Activities</w:t>
      </w:r>
    </w:p>
    <w:p w:rsidR="00E64794" w:rsidRDefault="00E64794" w:rsidP="00D2188B">
      <w:pPr>
        <w:pStyle w:val="NoSpacing"/>
        <w:jc w:val="both"/>
        <w:rPr>
          <w:lang w:val="en-US"/>
        </w:rPr>
      </w:pPr>
    </w:p>
    <w:p w:rsidR="00266214" w:rsidRPr="00B830BE" w:rsidRDefault="00266214" w:rsidP="00D2188B">
      <w:pPr>
        <w:pStyle w:val="NoSpacing"/>
        <w:jc w:val="both"/>
        <w:rPr>
          <w:b/>
          <w:bCs/>
          <w:lang w:val="en-US"/>
        </w:rPr>
      </w:pPr>
      <w:r w:rsidRPr="00B830BE">
        <w:rPr>
          <w:b/>
          <w:bCs/>
          <w:lang w:val="en-US"/>
        </w:rPr>
        <w:t xml:space="preserve">Component 1 – Making the </w:t>
      </w:r>
      <w:r w:rsidR="00E64794" w:rsidRPr="00B830BE">
        <w:rPr>
          <w:b/>
          <w:bCs/>
          <w:lang w:val="en-US"/>
        </w:rPr>
        <w:t xml:space="preserve">Investment </w:t>
      </w:r>
      <w:r w:rsidRPr="00B830BE">
        <w:rPr>
          <w:b/>
          <w:bCs/>
          <w:lang w:val="en-US"/>
        </w:rPr>
        <w:t>Case for Action on NCDs:</w:t>
      </w:r>
    </w:p>
    <w:p w:rsidR="00B830BE" w:rsidRDefault="00B830BE" w:rsidP="00D2188B">
      <w:pPr>
        <w:pStyle w:val="NoSpacing"/>
        <w:jc w:val="both"/>
        <w:rPr>
          <w:lang w:val="en-US"/>
        </w:rPr>
      </w:pPr>
    </w:p>
    <w:p w:rsidR="00E64794" w:rsidRDefault="00322F08" w:rsidP="00D2188B">
      <w:pPr>
        <w:pStyle w:val="NoSpacing"/>
        <w:jc w:val="both"/>
        <w:rPr>
          <w:lang w:val="en-US"/>
        </w:rPr>
      </w:pPr>
      <w:r>
        <w:rPr>
          <w:lang w:val="en-US"/>
        </w:rPr>
        <w:t>In selected countries:</w:t>
      </w:r>
    </w:p>
    <w:p w:rsidR="00405E89" w:rsidRDefault="009B7251" w:rsidP="00691247">
      <w:pPr>
        <w:pStyle w:val="NoSpacing"/>
        <w:jc w:val="both"/>
        <w:rPr>
          <w:lang w:val="en-US"/>
        </w:rPr>
      </w:pPr>
      <w:r>
        <w:rPr>
          <w:lang w:val="en-US"/>
        </w:rPr>
        <w:t>1.</w:t>
      </w:r>
      <w:r w:rsidR="000F4345">
        <w:rPr>
          <w:lang w:val="en-US"/>
        </w:rPr>
        <w:t xml:space="preserve"> </w:t>
      </w:r>
      <w:r w:rsidR="00BB767E">
        <w:rPr>
          <w:lang w:val="en-US"/>
        </w:rPr>
        <w:t xml:space="preserve">Undertake a review of existing studies and analysis assessing the burden of NCDs and identify gaps. </w:t>
      </w:r>
    </w:p>
    <w:p w:rsidR="00DB65D5" w:rsidRDefault="00405E89" w:rsidP="00691247">
      <w:pPr>
        <w:pStyle w:val="NoSpacing"/>
        <w:jc w:val="both"/>
        <w:rPr>
          <w:lang w:val="en-US"/>
        </w:rPr>
      </w:pPr>
      <w:r>
        <w:rPr>
          <w:lang w:val="en-US"/>
        </w:rPr>
        <w:t xml:space="preserve">2. </w:t>
      </w:r>
      <w:r w:rsidR="00BB767E">
        <w:rPr>
          <w:lang w:val="en-US"/>
        </w:rPr>
        <w:t xml:space="preserve">Identify method of analysis for </w:t>
      </w:r>
      <w:r w:rsidR="00DB65D5">
        <w:rPr>
          <w:lang w:val="en-US"/>
        </w:rPr>
        <w:t xml:space="preserve">a </w:t>
      </w:r>
      <w:r w:rsidR="00BB767E">
        <w:rPr>
          <w:lang w:val="en-US"/>
        </w:rPr>
        <w:t xml:space="preserve">cost-benefit study including </w:t>
      </w:r>
      <w:r w:rsidR="00DB65D5">
        <w:rPr>
          <w:lang w:val="en-US"/>
        </w:rPr>
        <w:t>timeline and resources required.</w:t>
      </w:r>
      <w:r w:rsidR="00691247" w:rsidRPr="00691247">
        <w:rPr>
          <w:lang w:val="en-US"/>
        </w:rPr>
        <w:t xml:space="preserve"> </w:t>
      </w:r>
    </w:p>
    <w:p w:rsidR="00DB65D5" w:rsidRDefault="00DB65D5" w:rsidP="00D2188B">
      <w:pPr>
        <w:pStyle w:val="NoSpacing"/>
        <w:jc w:val="both"/>
        <w:rPr>
          <w:lang w:val="en-US"/>
        </w:rPr>
      </w:pPr>
      <w:r>
        <w:rPr>
          <w:lang w:val="en-US"/>
        </w:rPr>
        <w:t>3. Identify financing options for NCDs through existing mechanisms as well as innovative approaches.</w:t>
      </w:r>
    </w:p>
    <w:p w:rsidR="00A12039" w:rsidRPr="001E52E3" w:rsidRDefault="00DB65D5" w:rsidP="00D2188B">
      <w:pPr>
        <w:pStyle w:val="NoSpacing"/>
        <w:jc w:val="both"/>
        <w:rPr>
          <w:rFonts w:ascii="Calibri" w:hAnsi="Calibri" w:cs="Times New Roman"/>
          <w:lang w:val="en-US" w:eastAsia="en-GB"/>
        </w:rPr>
      </w:pPr>
      <w:r>
        <w:rPr>
          <w:lang w:val="en-US"/>
        </w:rPr>
        <w:t>4. Organize roundtable discussions with relevant stakeholders</w:t>
      </w:r>
      <w:r w:rsidR="00691247">
        <w:rPr>
          <w:lang w:val="en-US"/>
        </w:rPr>
        <w:t xml:space="preserve"> in country</w:t>
      </w:r>
      <w:r>
        <w:rPr>
          <w:lang w:val="en-US"/>
        </w:rPr>
        <w:t>, including finance and revenue ministries.</w:t>
      </w:r>
      <w:bookmarkStart w:id="0" w:name="_GoBack"/>
      <w:bookmarkEnd w:id="0"/>
    </w:p>
    <w:p w:rsidR="00B830BE" w:rsidRDefault="00B830BE" w:rsidP="00B830BE">
      <w:pPr>
        <w:spacing w:after="0" w:line="240" w:lineRule="auto"/>
        <w:jc w:val="both"/>
        <w:rPr>
          <w:lang w:val="en-US"/>
        </w:rPr>
      </w:pPr>
    </w:p>
    <w:p w:rsidR="007776A5" w:rsidRPr="00B830BE" w:rsidRDefault="00266214" w:rsidP="00691247">
      <w:pPr>
        <w:jc w:val="both"/>
        <w:rPr>
          <w:b/>
          <w:bCs/>
          <w:lang w:val="en-US"/>
        </w:rPr>
      </w:pPr>
      <w:r w:rsidRPr="00B830BE">
        <w:rPr>
          <w:b/>
          <w:bCs/>
          <w:lang w:val="en-US"/>
        </w:rPr>
        <w:t xml:space="preserve">Component </w:t>
      </w:r>
      <w:r w:rsidR="009B7251" w:rsidRPr="00B830BE">
        <w:rPr>
          <w:b/>
          <w:bCs/>
          <w:lang w:val="en-US"/>
        </w:rPr>
        <w:t xml:space="preserve">2. </w:t>
      </w:r>
      <w:r w:rsidR="00691247" w:rsidRPr="00B830BE">
        <w:rPr>
          <w:b/>
          <w:bCs/>
          <w:lang w:val="en-US"/>
        </w:rPr>
        <w:t>Enhancing country level mechanisms for delivery and accountability</w:t>
      </w:r>
      <w:r w:rsidR="007776A5" w:rsidRPr="00B830BE">
        <w:rPr>
          <w:b/>
          <w:bCs/>
          <w:lang w:val="en-US"/>
        </w:rPr>
        <w:t>:</w:t>
      </w:r>
    </w:p>
    <w:p w:rsidR="00691247" w:rsidRDefault="00322F08" w:rsidP="00322F08">
      <w:pPr>
        <w:spacing w:after="0" w:line="240" w:lineRule="auto"/>
        <w:jc w:val="both"/>
        <w:rPr>
          <w:lang w:val="en-US"/>
        </w:rPr>
      </w:pPr>
      <w:r>
        <w:rPr>
          <w:lang w:val="en-US"/>
        </w:rPr>
        <w:t>In selected countries:</w:t>
      </w:r>
    </w:p>
    <w:p w:rsidR="007776A5" w:rsidRDefault="007776A5" w:rsidP="00D2188B">
      <w:pPr>
        <w:pStyle w:val="ListParagraph"/>
        <w:numPr>
          <w:ilvl w:val="0"/>
          <w:numId w:val="30"/>
        </w:numPr>
        <w:jc w:val="both"/>
        <w:rPr>
          <w:lang w:val="en-US"/>
        </w:rPr>
      </w:pPr>
      <w:r>
        <w:rPr>
          <w:lang w:val="en-US"/>
        </w:rPr>
        <w:t>NCD Stakeholder assessment</w:t>
      </w:r>
      <w:r w:rsidR="00377DC8">
        <w:rPr>
          <w:lang w:val="en-US"/>
        </w:rPr>
        <w:t xml:space="preserve"> that takes into account sectors’ role, financing and contact with the private sector. </w:t>
      </w:r>
    </w:p>
    <w:p w:rsidR="007776A5" w:rsidRDefault="007776A5" w:rsidP="00D2188B">
      <w:pPr>
        <w:pStyle w:val="ListParagraph"/>
        <w:numPr>
          <w:ilvl w:val="0"/>
          <w:numId w:val="30"/>
        </w:numPr>
        <w:jc w:val="both"/>
        <w:rPr>
          <w:lang w:val="en-US"/>
        </w:rPr>
      </w:pPr>
      <w:r>
        <w:rPr>
          <w:lang w:val="en-US"/>
        </w:rPr>
        <w:t xml:space="preserve">Multisectoral Stakeholder Forum to </w:t>
      </w:r>
      <w:r w:rsidR="00377DC8">
        <w:rPr>
          <w:lang w:val="en-US"/>
        </w:rPr>
        <w:t>convene the relevant sectors to review their</w:t>
      </w:r>
      <w:r>
        <w:rPr>
          <w:lang w:val="en-US"/>
        </w:rPr>
        <w:t xml:space="preserve"> role in the national response, as well as those of civil society, academia and the private sector</w:t>
      </w:r>
      <w:r w:rsidR="00377DC8">
        <w:rPr>
          <w:lang w:val="en-US"/>
        </w:rPr>
        <w:t>.</w:t>
      </w:r>
      <w:r>
        <w:rPr>
          <w:lang w:val="en-US"/>
        </w:rPr>
        <w:t xml:space="preserve"> </w:t>
      </w:r>
    </w:p>
    <w:p w:rsidR="007776A5" w:rsidRDefault="00377DC8" w:rsidP="00D2188B">
      <w:pPr>
        <w:pStyle w:val="ListParagraph"/>
        <w:numPr>
          <w:ilvl w:val="0"/>
          <w:numId w:val="30"/>
        </w:numPr>
        <w:jc w:val="both"/>
        <w:rPr>
          <w:lang w:val="en-US"/>
        </w:rPr>
      </w:pPr>
      <w:r>
        <w:rPr>
          <w:lang w:val="en-US"/>
        </w:rPr>
        <w:t>Design and establishment</w:t>
      </w:r>
      <w:r w:rsidR="007776A5">
        <w:rPr>
          <w:lang w:val="en-US"/>
        </w:rPr>
        <w:t xml:space="preserve"> of a national multisectoral NCD coordination mechanism</w:t>
      </w:r>
      <w:r>
        <w:rPr>
          <w:lang w:val="en-US"/>
        </w:rPr>
        <w:t>.</w:t>
      </w:r>
    </w:p>
    <w:p w:rsidR="008E05DD" w:rsidRDefault="008E05DD" w:rsidP="00D2188B">
      <w:pPr>
        <w:pStyle w:val="ListParagraph"/>
        <w:numPr>
          <w:ilvl w:val="0"/>
          <w:numId w:val="30"/>
        </w:numPr>
        <w:jc w:val="both"/>
        <w:rPr>
          <w:lang w:val="en-US"/>
        </w:rPr>
      </w:pPr>
      <w:r>
        <w:rPr>
          <w:lang w:val="en-US"/>
        </w:rPr>
        <w:t>Drafting of TOR and code of conduct for multisectoral NCD coordination mechanism members.</w:t>
      </w:r>
    </w:p>
    <w:p w:rsidR="007776A5" w:rsidRDefault="007776A5" w:rsidP="00D2188B">
      <w:pPr>
        <w:pStyle w:val="ListParagraph"/>
        <w:numPr>
          <w:ilvl w:val="0"/>
          <w:numId w:val="30"/>
        </w:numPr>
        <w:jc w:val="both"/>
        <w:rPr>
          <w:lang w:val="en-US"/>
        </w:rPr>
      </w:pPr>
      <w:r>
        <w:rPr>
          <w:lang w:val="en-US"/>
        </w:rPr>
        <w:t>Plan for funding and sustaining the NCD coordination mechanism</w:t>
      </w:r>
      <w:r w:rsidR="00471A01">
        <w:rPr>
          <w:lang w:val="en-US"/>
        </w:rPr>
        <w:t>.</w:t>
      </w:r>
    </w:p>
    <w:p w:rsidR="00471A01" w:rsidRDefault="00471A01" w:rsidP="00D2188B">
      <w:pPr>
        <w:pStyle w:val="ListParagraph"/>
        <w:jc w:val="both"/>
        <w:rPr>
          <w:lang w:val="en-US"/>
        </w:rPr>
      </w:pPr>
    </w:p>
    <w:p w:rsidR="007776A5" w:rsidRPr="00B830BE" w:rsidRDefault="00266214" w:rsidP="00D2188B">
      <w:pPr>
        <w:jc w:val="both"/>
        <w:rPr>
          <w:b/>
          <w:bCs/>
          <w:lang w:val="en-US"/>
        </w:rPr>
      </w:pPr>
      <w:r w:rsidRPr="00B830BE">
        <w:rPr>
          <w:b/>
          <w:bCs/>
          <w:lang w:val="en-US"/>
        </w:rPr>
        <w:t xml:space="preserve">Component </w:t>
      </w:r>
      <w:r w:rsidR="009B7251" w:rsidRPr="00B830BE">
        <w:rPr>
          <w:b/>
          <w:bCs/>
          <w:lang w:val="en-US"/>
        </w:rPr>
        <w:t xml:space="preserve">3. </w:t>
      </w:r>
      <w:r w:rsidR="007776A5" w:rsidRPr="00B830BE">
        <w:rPr>
          <w:b/>
          <w:bCs/>
          <w:lang w:val="en-US"/>
        </w:rPr>
        <w:t>Cities and NCDs:</w:t>
      </w:r>
    </w:p>
    <w:p w:rsidR="00322F08" w:rsidRDefault="00322F08" w:rsidP="00322F08">
      <w:pPr>
        <w:spacing w:after="0" w:line="240" w:lineRule="auto"/>
        <w:jc w:val="both"/>
        <w:rPr>
          <w:lang w:val="en-US"/>
        </w:rPr>
      </w:pPr>
      <w:r>
        <w:rPr>
          <w:lang w:val="en-US"/>
        </w:rPr>
        <w:t>In selected countries:</w:t>
      </w:r>
    </w:p>
    <w:p w:rsidR="007776A5" w:rsidRPr="0038769A" w:rsidRDefault="007776A5" w:rsidP="00D2188B">
      <w:pPr>
        <w:pStyle w:val="ListParagraph"/>
        <w:numPr>
          <w:ilvl w:val="0"/>
          <w:numId w:val="23"/>
        </w:numPr>
        <w:jc w:val="both"/>
      </w:pPr>
      <w:r>
        <w:t xml:space="preserve">Understanding the local NCD burden, access to NCD services, with a focus on distribution and </w:t>
      </w:r>
      <w:r w:rsidRPr="0038769A">
        <w:t>marginalized/under-deserved groups;</w:t>
      </w:r>
    </w:p>
    <w:p w:rsidR="007776A5" w:rsidRPr="0038769A" w:rsidRDefault="007776A5" w:rsidP="00D2188B">
      <w:pPr>
        <w:pStyle w:val="ListParagraph"/>
        <w:numPr>
          <w:ilvl w:val="0"/>
          <w:numId w:val="23"/>
        </w:numPr>
        <w:jc w:val="both"/>
      </w:pPr>
      <w:r w:rsidRPr="0038769A">
        <w:t>Priority setting based on epidemiological context and other relevant variables;</w:t>
      </w:r>
    </w:p>
    <w:p w:rsidR="007776A5" w:rsidRDefault="007776A5" w:rsidP="00D2188B">
      <w:pPr>
        <w:pStyle w:val="ListParagraph"/>
        <w:numPr>
          <w:ilvl w:val="0"/>
          <w:numId w:val="23"/>
        </w:numPr>
        <w:jc w:val="both"/>
      </w:pPr>
      <w:r w:rsidRPr="00D83ED5">
        <w:t>Reviewing alignment between</w:t>
      </w:r>
      <w:r>
        <w:t xml:space="preserve"> priorities and existing local policies, institutions and financing;</w:t>
      </w:r>
    </w:p>
    <w:p w:rsidR="007776A5" w:rsidRDefault="007776A5" w:rsidP="00D2188B">
      <w:pPr>
        <w:pStyle w:val="ListParagraph"/>
        <w:numPr>
          <w:ilvl w:val="0"/>
          <w:numId w:val="23"/>
        </w:numPr>
        <w:jc w:val="both"/>
      </w:pPr>
      <w:r>
        <w:t>Identifying key bottlenecks in implementing existing NCD-relevant policies and programmes;</w:t>
      </w:r>
    </w:p>
    <w:p w:rsidR="007776A5" w:rsidRDefault="007776A5" w:rsidP="00D2188B">
      <w:pPr>
        <w:pStyle w:val="ListParagraph"/>
        <w:numPr>
          <w:ilvl w:val="0"/>
          <w:numId w:val="23"/>
        </w:numPr>
        <w:jc w:val="both"/>
      </w:pPr>
      <w:r>
        <w:t>Evaluating local governance architectures for systematizing key NCD-relevant functions: data generation, consultation, planning, coordination, financing and implementation;</w:t>
      </w:r>
    </w:p>
    <w:p w:rsidR="007776A5" w:rsidRDefault="007776A5" w:rsidP="00D2188B">
      <w:pPr>
        <w:pStyle w:val="ListParagraph"/>
        <w:numPr>
          <w:ilvl w:val="0"/>
          <w:numId w:val="23"/>
        </w:numPr>
        <w:jc w:val="both"/>
      </w:pPr>
      <w:r>
        <w:t>Identifying additional and innovative policy needs and programmatic initiatives, informed by existing strategies and action plans at local, national and international levels;</w:t>
      </w:r>
    </w:p>
    <w:p w:rsidR="009B7251" w:rsidRDefault="007776A5" w:rsidP="00D2188B">
      <w:pPr>
        <w:pStyle w:val="ListParagraph"/>
        <w:numPr>
          <w:ilvl w:val="0"/>
          <w:numId w:val="23"/>
        </w:numPr>
        <w:jc w:val="both"/>
      </w:pPr>
      <w:r>
        <w:lastRenderedPageBreak/>
        <w:t>Drawing from experiences and lessons from other cities through decentralized, south-south and triangular cooperation, as well as from WHO and UNDP documented best practices;</w:t>
      </w:r>
    </w:p>
    <w:p w:rsidR="0026641F" w:rsidRDefault="007776A5" w:rsidP="00334D22">
      <w:pPr>
        <w:pStyle w:val="ListParagraph"/>
        <w:numPr>
          <w:ilvl w:val="0"/>
          <w:numId w:val="23"/>
        </w:numPr>
        <w:jc w:val="both"/>
      </w:pPr>
      <w:r>
        <w:t>Developing prioritized local actions plans, as well as resources, partners and technical needs for implementation</w:t>
      </w:r>
      <w:r w:rsidR="00334D22">
        <w:t xml:space="preserve">. </w:t>
      </w:r>
    </w:p>
    <w:p w:rsidR="00FF36E1" w:rsidRDefault="00FF36E1" w:rsidP="00FF36E1">
      <w:pPr>
        <w:pStyle w:val="ListParagraph"/>
        <w:ind w:left="360"/>
        <w:jc w:val="both"/>
      </w:pPr>
    </w:p>
    <w:p w:rsidR="00B36470" w:rsidRDefault="00FF36E1" w:rsidP="00B36470">
      <w:pPr>
        <w:pStyle w:val="Heading1"/>
      </w:pPr>
      <w:r>
        <w:t xml:space="preserve">Provisional </w:t>
      </w:r>
      <w:r w:rsidR="00B36470">
        <w:t>Budget Parameters</w:t>
      </w:r>
    </w:p>
    <w:p w:rsidR="00B36470" w:rsidRDefault="00B36470" w:rsidP="00334D22">
      <w:pPr>
        <w:jc w:val="both"/>
      </w:pPr>
      <w:r>
        <w:t xml:space="preserve">The Joint Programme will support the placement of a National Programme Officer (NPO) in each fully participating country. The main functions of the NPOs will be to i) act as Project Manager for the Joint Programme activities, and ii) to facilitate the strengthening of multisectoral governance of NCDs by assisting both the UN Country Team and the Government. </w:t>
      </w:r>
    </w:p>
    <w:p w:rsidR="00B36470" w:rsidRDefault="008E05DD" w:rsidP="00334D22">
      <w:pPr>
        <w:jc w:val="both"/>
      </w:pPr>
      <w:r>
        <w:t xml:space="preserve">In keeping with the Joint Programme’s commitment to country ownership, implementation of all three components will be undertaken by national officers supported by national expert consultants. The three participating agencies commit to provision of remote technical support (coordination of reporting, management of the Joint Programme, development of technical tools and guidance) above and beyond that listed in the table below.  </w:t>
      </w:r>
    </w:p>
    <w:p w:rsidR="00B830BE" w:rsidRDefault="00B830BE" w:rsidP="00B830BE">
      <w:pPr>
        <w:spacing w:after="0" w:line="240" w:lineRule="auto"/>
        <w:rPr>
          <w:i/>
          <w:iCs/>
          <w:sz w:val="20"/>
          <w:szCs w:val="20"/>
        </w:rPr>
      </w:pPr>
    </w:p>
    <w:p w:rsidR="00334D22" w:rsidRPr="00B830BE" w:rsidRDefault="00334D22" w:rsidP="00B830BE">
      <w:pPr>
        <w:spacing w:after="0" w:line="240" w:lineRule="auto"/>
        <w:rPr>
          <w:i/>
          <w:iCs/>
          <w:sz w:val="20"/>
          <w:szCs w:val="20"/>
        </w:rPr>
      </w:pPr>
      <w:r w:rsidRPr="00B830BE">
        <w:rPr>
          <w:i/>
          <w:iCs/>
          <w:sz w:val="20"/>
          <w:szCs w:val="20"/>
        </w:rPr>
        <w:t xml:space="preserve">UNDP, WHO and the World Bank. </w:t>
      </w:r>
      <w:r w:rsidR="007053DA">
        <w:rPr>
          <w:i/>
          <w:iCs/>
          <w:sz w:val="20"/>
          <w:szCs w:val="20"/>
        </w:rPr>
        <w:t>7 May</w:t>
      </w:r>
      <w:r w:rsidRPr="00B830BE">
        <w:rPr>
          <w:i/>
          <w:iCs/>
          <w:sz w:val="20"/>
          <w:szCs w:val="20"/>
        </w:rPr>
        <w:t xml:space="preserve"> 2015</w:t>
      </w:r>
    </w:p>
    <w:p w:rsidR="00B830BE" w:rsidRDefault="00B830BE" w:rsidP="00D2188B">
      <w:pPr>
        <w:jc w:val="center"/>
        <w:rPr>
          <w:b/>
          <w:bCs/>
        </w:rPr>
      </w:pPr>
    </w:p>
    <w:p w:rsidR="00334D22" w:rsidRPr="009B7251" w:rsidRDefault="00334D22" w:rsidP="00D2188B">
      <w:pPr>
        <w:jc w:val="center"/>
      </w:pPr>
      <w:r w:rsidRPr="007B5973">
        <w:rPr>
          <w:b/>
          <w:bCs/>
        </w:rPr>
        <w:t>oooOOOooo</w:t>
      </w:r>
    </w:p>
    <w:sectPr w:rsidR="00334D22" w:rsidRPr="009B7251" w:rsidSect="00971818">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25F" w:rsidRDefault="00CE325F" w:rsidP="007A6CDE">
      <w:pPr>
        <w:spacing w:after="0" w:line="240" w:lineRule="auto"/>
      </w:pPr>
      <w:r>
        <w:separator/>
      </w:r>
    </w:p>
  </w:endnote>
  <w:endnote w:type="continuationSeparator" w:id="0">
    <w:p w:rsidR="00CE325F" w:rsidRDefault="00CE325F" w:rsidP="007A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361258"/>
      <w:docPartObj>
        <w:docPartGallery w:val="Page Numbers (Bottom of Page)"/>
        <w:docPartUnique/>
      </w:docPartObj>
    </w:sdtPr>
    <w:sdtEndPr>
      <w:rPr>
        <w:noProof/>
      </w:rPr>
    </w:sdtEndPr>
    <w:sdtContent>
      <w:p w:rsidR="00D50EBD" w:rsidRDefault="00D50EBD">
        <w:pPr>
          <w:pStyle w:val="Footer"/>
          <w:jc w:val="right"/>
        </w:pPr>
        <w:r>
          <w:fldChar w:fldCharType="begin"/>
        </w:r>
        <w:r>
          <w:instrText xml:space="preserve"> PAGE   \* MERGEFORMAT </w:instrText>
        </w:r>
        <w:r>
          <w:fldChar w:fldCharType="separate"/>
        </w:r>
        <w:r w:rsidR="009E5150">
          <w:rPr>
            <w:noProof/>
          </w:rPr>
          <w:t>6</w:t>
        </w:r>
        <w:r>
          <w:rPr>
            <w:noProof/>
          </w:rPr>
          <w:fldChar w:fldCharType="end"/>
        </w:r>
      </w:p>
    </w:sdtContent>
  </w:sdt>
  <w:p w:rsidR="00D50EBD" w:rsidRDefault="00D50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25F" w:rsidRDefault="00CE325F" w:rsidP="007A6CDE">
      <w:pPr>
        <w:spacing w:after="0" w:line="240" w:lineRule="auto"/>
      </w:pPr>
      <w:r>
        <w:separator/>
      </w:r>
    </w:p>
  </w:footnote>
  <w:footnote w:type="continuationSeparator" w:id="0">
    <w:p w:rsidR="00CE325F" w:rsidRDefault="00CE325F" w:rsidP="007A6CDE">
      <w:pPr>
        <w:spacing w:after="0" w:line="240" w:lineRule="auto"/>
      </w:pPr>
      <w:r>
        <w:continuationSeparator/>
      </w:r>
    </w:p>
  </w:footnote>
  <w:footnote w:id="1">
    <w:p w:rsidR="00506B1D" w:rsidRPr="00B830BE" w:rsidRDefault="00506B1D">
      <w:pPr>
        <w:pStyle w:val="FootnoteText"/>
        <w:rPr>
          <w:sz w:val="18"/>
          <w:szCs w:val="18"/>
          <w:lang w:val="en-US"/>
        </w:rPr>
      </w:pPr>
      <w:r w:rsidRPr="00B830BE">
        <w:rPr>
          <w:rStyle w:val="FootnoteReference"/>
          <w:sz w:val="18"/>
          <w:szCs w:val="18"/>
        </w:rPr>
        <w:footnoteRef/>
      </w:r>
      <w:r w:rsidRPr="00B830BE">
        <w:rPr>
          <w:sz w:val="18"/>
          <w:szCs w:val="18"/>
        </w:rPr>
        <w:t xml:space="preserve"> </w:t>
      </w:r>
      <w:hyperlink r:id="rId1" w:history="1">
        <w:r w:rsidR="00B830BE" w:rsidRPr="00002BBF">
          <w:rPr>
            <w:rStyle w:val="Hyperlink"/>
            <w:sz w:val="18"/>
            <w:szCs w:val="18"/>
          </w:rPr>
          <w:t>http://www.who.int/nmh/events/2014/outcome-document.pdf</w:t>
        </w:r>
      </w:hyperlink>
      <w:r w:rsidR="00B830BE">
        <w:rPr>
          <w:sz w:val="18"/>
          <w:szCs w:val="18"/>
        </w:rPr>
        <w:t xml:space="preserve"> </w:t>
      </w:r>
    </w:p>
  </w:footnote>
  <w:footnote w:id="2">
    <w:p w:rsidR="00F36029" w:rsidRPr="00B830BE" w:rsidRDefault="00F36029">
      <w:pPr>
        <w:pStyle w:val="FootnoteText"/>
        <w:rPr>
          <w:sz w:val="18"/>
          <w:szCs w:val="18"/>
        </w:rPr>
      </w:pPr>
      <w:r w:rsidRPr="00B830BE">
        <w:rPr>
          <w:rStyle w:val="FootnoteReference"/>
          <w:sz w:val="18"/>
          <w:szCs w:val="18"/>
        </w:rPr>
        <w:footnoteRef/>
      </w:r>
      <w:r w:rsidRPr="00B830BE">
        <w:rPr>
          <w:sz w:val="18"/>
          <w:szCs w:val="18"/>
        </w:rPr>
        <w:t xml:space="preserve"> </w:t>
      </w:r>
      <w:hyperlink r:id="rId2" w:history="1">
        <w:r w:rsidR="00B830BE" w:rsidRPr="00002BBF">
          <w:rPr>
            <w:rStyle w:val="Hyperlink"/>
            <w:sz w:val="18"/>
            <w:szCs w:val="18"/>
          </w:rPr>
          <w:t>http://www.who.int/entity/nmh/ncd-task-force/unitaf-18-march-2015.pdf?ua=1</w:t>
        </w:r>
      </w:hyperlink>
      <w:r w:rsidR="00B830BE">
        <w:rPr>
          <w:sz w:val="18"/>
          <w:szCs w:val="18"/>
        </w:rPr>
        <w:t xml:space="preserve"> </w:t>
      </w:r>
    </w:p>
  </w:footnote>
  <w:footnote w:id="3">
    <w:p w:rsidR="007C36EE" w:rsidRPr="00B830BE" w:rsidRDefault="007C36EE">
      <w:pPr>
        <w:pStyle w:val="FootnoteText"/>
        <w:rPr>
          <w:sz w:val="18"/>
          <w:szCs w:val="18"/>
        </w:rPr>
      </w:pPr>
      <w:r w:rsidRPr="00B830BE">
        <w:rPr>
          <w:rStyle w:val="FootnoteReference"/>
          <w:sz w:val="18"/>
          <w:szCs w:val="18"/>
        </w:rPr>
        <w:footnoteRef/>
      </w:r>
      <w:r w:rsidRPr="00B830BE">
        <w:rPr>
          <w:sz w:val="18"/>
          <w:szCs w:val="18"/>
        </w:rPr>
        <w:t xml:space="preserve"> </w:t>
      </w:r>
      <w:r w:rsidRPr="00B830BE">
        <w:rPr>
          <w:sz w:val="18"/>
          <w:szCs w:val="18"/>
          <w:lang w:val="en-US"/>
        </w:rPr>
        <w:t>(COP Decision 6(17), October 2014): ‘</w:t>
      </w:r>
      <w:r w:rsidRPr="00B830BE">
        <w:rPr>
          <w:sz w:val="18"/>
          <w:szCs w:val="18"/>
        </w:rPr>
        <w:t>Sustainable measures to strengthen implementation of the WHO FCTC</w:t>
      </w:r>
      <w:r w:rsidRPr="00B830BE">
        <w:rPr>
          <w:sz w:val="18"/>
          <w:szCs w:val="18"/>
          <w:lang w:val="en-US"/>
        </w:rPr>
        <w:t xml:space="preserve">.’  </w:t>
      </w:r>
    </w:p>
  </w:footnote>
  <w:footnote w:id="4">
    <w:p w:rsidR="002E420A" w:rsidRPr="00B830BE" w:rsidRDefault="002E420A">
      <w:pPr>
        <w:pStyle w:val="FootnoteText"/>
        <w:rPr>
          <w:sz w:val="18"/>
          <w:szCs w:val="18"/>
          <w:lang w:val="en-US"/>
        </w:rPr>
      </w:pPr>
      <w:r w:rsidRPr="00B830BE">
        <w:rPr>
          <w:rStyle w:val="FootnoteReference"/>
          <w:sz w:val="18"/>
          <w:szCs w:val="18"/>
        </w:rPr>
        <w:footnoteRef/>
      </w:r>
      <w:r w:rsidRPr="00B830BE">
        <w:rPr>
          <w:sz w:val="18"/>
          <w:szCs w:val="18"/>
        </w:rPr>
        <w:t xml:space="preserve"> World Bank, Governance, Washington, D.C., 1993. See Economic and Social Council E/C.16/2006/4 for full discussion.</w:t>
      </w:r>
    </w:p>
  </w:footnote>
  <w:footnote w:id="5">
    <w:p w:rsidR="00F36029" w:rsidRPr="00B830BE" w:rsidRDefault="00F36029">
      <w:pPr>
        <w:pStyle w:val="FootnoteText"/>
        <w:rPr>
          <w:sz w:val="18"/>
          <w:szCs w:val="18"/>
        </w:rPr>
      </w:pPr>
      <w:r w:rsidRPr="00B830BE">
        <w:rPr>
          <w:rStyle w:val="FootnoteReference"/>
          <w:sz w:val="18"/>
          <w:szCs w:val="18"/>
        </w:rPr>
        <w:footnoteRef/>
      </w:r>
      <w:r w:rsidRPr="00B830BE">
        <w:rPr>
          <w:sz w:val="18"/>
          <w:szCs w:val="18"/>
        </w:rPr>
        <w:t xml:space="preserve"> </w:t>
      </w:r>
      <w:hyperlink r:id="rId3" w:history="1">
        <w:r w:rsidR="00B830BE" w:rsidRPr="00002BBF">
          <w:rPr>
            <w:rStyle w:val="Hyperlink"/>
            <w:sz w:val="18"/>
            <w:szCs w:val="18"/>
          </w:rPr>
          <w:t>http://www.who.int/entity/nmh/ncd-task-force/wb-undp-who-jointworkingmemo-20141104.pdf?ua=1</w:t>
        </w:r>
      </w:hyperlink>
      <w:r w:rsidR="00B830BE">
        <w:rPr>
          <w:sz w:val="18"/>
          <w:szCs w:val="18"/>
        </w:rPr>
        <w:t xml:space="preserve"> </w:t>
      </w:r>
    </w:p>
  </w:footnote>
  <w:footnote w:id="6">
    <w:p w:rsidR="00A24242" w:rsidRPr="00B830BE" w:rsidRDefault="00A24242" w:rsidP="00B830BE">
      <w:pPr>
        <w:pStyle w:val="FootnoteText"/>
        <w:rPr>
          <w:sz w:val="18"/>
          <w:szCs w:val="18"/>
          <w:lang w:val="en-US"/>
        </w:rPr>
      </w:pPr>
      <w:r w:rsidRPr="00B830BE">
        <w:rPr>
          <w:rStyle w:val="FootnoteReference"/>
          <w:sz w:val="18"/>
          <w:szCs w:val="18"/>
        </w:rPr>
        <w:footnoteRef/>
      </w:r>
      <w:r w:rsidRPr="00B830BE">
        <w:rPr>
          <w:sz w:val="18"/>
          <w:szCs w:val="18"/>
        </w:rPr>
        <w:t xml:space="preserve"> </w:t>
      </w:r>
      <w:r w:rsidR="006B3F6F" w:rsidRPr="00B830BE">
        <w:rPr>
          <w:sz w:val="18"/>
          <w:szCs w:val="18"/>
        </w:rPr>
        <w:t xml:space="preserve">Harvard School of Public Health and World Economic Forum, 2011. </w:t>
      </w:r>
      <w:r w:rsidRPr="00B830BE">
        <w:rPr>
          <w:sz w:val="18"/>
          <w:szCs w:val="18"/>
        </w:rPr>
        <w:t xml:space="preserve">The Global Economic Burden of Non-communicable Diseases. </w:t>
      </w:r>
      <w:r w:rsidR="006B3F6F" w:rsidRPr="00B830BE">
        <w:rPr>
          <w:sz w:val="18"/>
          <w:szCs w:val="18"/>
          <w:lang w:val="en-US"/>
        </w:rPr>
        <w:t xml:space="preserve"> </w:t>
      </w:r>
      <w:hyperlink r:id="rId4" w:history="1">
        <w:r w:rsidR="006B3F6F" w:rsidRPr="00B830BE">
          <w:rPr>
            <w:rStyle w:val="Hyperlink"/>
            <w:sz w:val="18"/>
            <w:szCs w:val="18"/>
            <w:lang w:val="en-US"/>
          </w:rPr>
          <w:t>http://www3.weforum.org/docs/WEF_Harvard_HE_GlobalEconomicBurdenNonCommunicableDiseases_2011.pdf</w:t>
        </w:r>
      </w:hyperlink>
      <w:r w:rsidR="006B3F6F" w:rsidRPr="00B830BE">
        <w:rPr>
          <w:sz w:val="18"/>
          <w:szCs w:val="18"/>
          <w:lang w:val="en-US"/>
        </w:rPr>
        <w:t xml:space="preserve"> </w:t>
      </w:r>
    </w:p>
  </w:footnote>
  <w:footnote w:id="7">
    <w:p w:rsidR="006B3F6F" w:rsidRPr="007D14C8" w:rsidRDefault="006B3F6F" w:rsidP="00B830BE">
      <w:pPr>
        <w:pStyle w:val="FootnoteText"/>
        <w:rPr>
          <w:sz w:val="18"/>
          <w:szCs w:val="18"/>
        </w:rPr>
      </w:pPr>
      <w:r w:rsidRPr="00B830BE">
        <w:rPr>
          <w:rStyle w:val="FootnoteReference"/>
          <w:sz w:val="18"/>
          <w:szCs w:val="18"/>
        </w:rPr>
        <w:footnoteRef/>
      </w:r>
      <w:r w:rsidRPr="00B830BE">
        <w:rPr>
          <w:sz w:val="18"/>
          <w:szCs w:val="18"/>
        </w:rPr>
        <w:t xml:space="preserve"> WHO, 2011. Scaling up action against noncommunicable diseases: How much will it cost? </w:t>
      </w:r>
      <w:r w:rsidRPr="007D14C8">
        <w:rPr>
          <w:sz w:val="18"/>
          <w:szCs w:val="18"/>
          <w:lang w:val="en-US"/>
        </w:rPr>
        <w:t xml:space="preserve"> </w:t>
      </w:r>
      <w:hyperlink r:id="rId5" w:history="1">
        <w:r w:rsidRPr="007D14C8">
          <w:rPr>
            <w:rStyle w:val="Hyperlink"/>
            <w:sz w:val="18"/>
            <w:szCs w:val="18"/>
          </w:rPr>
          <w:t>http://whqlibdoc.who.int/publications/2011/9789241502313_eng.pdf?ua=1</w:t>
        </w:r>
      </w:hyperlink>
      <w:r w:rsidRPr="007D14C8">
        <w:rPr>
          <w:sz w:val="18"/>
          <w:szCs w:val="18"/>
        </w:rPr>
        <w:t xml:space="preserve"> </w:t>
      </w:r>
    </w:p>
  </w:footnote>
  <w:footnote w:id="8">
    <w:p w:rsidR="00F11B0D" w:rsidRPr="007D14C8" w:rsidRDefault="00F11B0D">
      <w:pPr>
        <w:pStyle w:val="FootnoteText"/>
        <w:rPr>
          <w:sz w:val="18"/>
          <w:szCs w:val="18"/>
        </w:rPr>
      </w:pPr>
      <w:r w:rsidRPr="00B830BE">
        <w:rPr>
          <w:rStyle w:val="FootnoteReference"/>
          <w:sz w:val="18"/>
          <w:szCs w:val="18"/>
        </w:rPr>
        <w:footnoteRef/>
      </w:r>
      <w:r w:rsidRPr="007D14C8">
        <w:rPr>
          <w:sz w:val="18"/>
          <w:szCs w:val="18"/>
        </w:rPr>
        <w:t xml:space="preserve"> </w:t>
      </w:r>
      <w:hyperlink r:id="rId6" w:history="1">
        <w:r w:rsidR="00B830BE" w:rsidRPr="007D14C8">
          <w:rPr>
            <w:rStyle w:val="Hyperlink"/>
            <w:sz w:val="18"/>
            <w:szCs w:val="18"/>
          </w:rPr>
          <w:t>http://www.who.int/nmh/events/2014/outcome-document.pdf</w:t>
        </w:r>
      </w:hyperlink>
      <w:r w:rsidR="00B830BE" w:rsidRPr="007D14C8">
        <w:rPr>
          <w:sz w:val="18"/>
          <w:szCs w:val="18"/>
        </w:rPr>
        <w:t xml:space="preserve"> </w:t>
      </w:r>
    </w:p>
  </w:footnote>
  <w:footnote w:id="9">
    <w:p w:rsidR="00D50EBD" w:rsidRPr="00B830BE" w:rsidRDefault="00D50EBD">
      <w:pPr>
        <w:pStyle w:val="FootnoteText"/>
        <w:rPr>
          <w:sz w:val="18"/>
          <w:szCs w:val="18"/>
          <w:lang w:val="en-US"/>
        </w:rPr>
      </w:pPr>
      <w:r w:rsidRPr="00B830BE">
        <w:rPr>
          <w:rStyle w:val="FootnoteReference"/>
          <w:sz w:val="18"/>
          <w:szCs w:val="18"/>
        </w:rPr>
        <w:footnoteRef/>
      </w:r>
      <w:r w:rsidRPr="00B830BE">
        <w:rPr>
          <w:sz w:val="18"/>
          <w:szCs w:val="18"/>
        </w:rPr>
        <w:t xml:space="preserve"> </w:t>
      </w:r>
      <w:r w:rsidRPr="00B830BE">
        <w:rPr>
          <w:sz w:val="18"/>
          <w:szCs w:val="18"/>
          <w:lang w:val="en-US"/>
        </w:rPr>
        <w:t xml:space="preserve">WHO and UN-Habitat, </w:t>
      </w:r>
      <w:r w:rsidRPr="00B830BE">
        <w:rPr>
          <w:i/>
          <w:sz w:val="18"/>
          <w:szCs w:val="18"/>
          <w:lang w:val="en-US"/>
        </w:rPr>
        <w:t>Hidden Cities: Unmasking and overcoming health inequities in urban settings</w:t>
      </w:r>
      <w:r w:rsidRPr="00B830BE">
        <w:rPr>
          <w:sz w:val="18"/>
          <w:szCs w:val="18"/>
          <w:lang w:val="en-US"/>
        </w:rPr>
        <w:t>,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559"/>
    </w:tblGrid>
    <w:tr w:rsidR="008B0677" w:rsidRPr="000469A7" w:rsidTr="00B24EB7">
      <w:tc>
        <w:tcPr>
          <w:tcW w:w="1638" w:type="dxa"/>
        </w:tcPr>
        <w:p w:rsidR="008B0677" w:rsidRPr="000469A7" w:rsidRDefault="008B0677" w:rsidP="00B24EB7">
          <w:r w:rsidRPr="000469A7">
            <w:rPr>
              <w:noProof/>
            </w:rPr>
            <w:drawing>
              <wp:inline distT="0" distB="0" distL="0" distR="0" wp14:anchorId="22B5D34B" wp14:editId="3477BA1D">
                <wp:extent cx="864158" cy="648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5572" cy="649124"/>
                        </a:xfrm>
                        <a:prstGeom prst="rect">
                          <a:avLst/>
                        </a:prstGeom>
                        <a:noFill/>
                        <a:ln>
                          <a:noFill/>
                        </a:ln>
                      </pic:spPr>
                    </pic:pic>
                  </a:graphicData>
                </a:graphic>
              </wp:inline>
            </w:drawing>
          </w:r>
        </w:p>
      </w:tc>
      <w:tc>
        <w:tcPr>
          <w:tcW w:w="4559" w:type="dxa"/>
        </w:tcPr>
        <w:p w:rsidR="008B0677" w:rsidRPr="000469A7" w:rsidRDefault="008B0677" w:rsidP="00B24EB7">
          <w:pPr>
            <w:rPr>
              <w:b/>
              <w:color w:val="0070C0"/>
              <w:sz w:val="20"/>
              <w:szCs w:val="20"/>
            </w:rPr>
          </w:pPr>
          <w:r w:rsidRPr="000469A7">
            <w:rPr>
              <w:b/>
              <w:color w:val="0070C0"/>
              <w:sz w:val="20"/>
              <w:szCs w:val="20"/>
            </w:rPr>
            <w:t>United Nation Inter-Agency Task Force</w:t>
          </w:r>
        </w:p>
        <w:p w:rsidR="008B0677" w:rsidRPr="000469A7" w:rsidRDefault="008B0677" w:rsidP="00B24EB7">
          <w:pPr>
            <w:rPr>
              <w:b/>
              <w:color w:val="0070C0"/>
              <w:sz w:val="20"/>
              <w:szCs w:val="20"/>
            </w:rPr>
          </w:pPr>
          <w:r w:rsidRPr="000469A7">
            <w:rPr>
              <w:b/>
              <w:color w:val="0070C0"/>
              <w:sz w:val="20"/>
              <w:szCs w:val="20"/>
            </w:rPr>
            <w:t xml:space="preserve">on the Prevention and Control </w:t>
          </w:r>
          <w:r w:rsidRPr="000469A7">
            <w:rPr>
              <w:b/>
              <w:color w:val="0070C0"/>
              <w:sz w:val="20"/>
              <w:szCs w:val="20"/>
            </w:rPr>
            <w:br/>
            <w:t>of Noncommunicable Diseases</w:t>
          </w:r>
        </w:p>
        <w:p w:rsidR="008B0677" w:rsidRPr="000469A7" w:rsidRDefault="008B0677" w:rsidP="00B24EB7">
          <w:r w:rsidRPr="000469A7">
            <w:rPr>
              <w:color w:val="00B0F0"/>
            </w:rPr>
            <w:t>U</w:t>
          </w:r>
          <w:r w:rsidRPr="000469A7">
            <w:rPr>
              <w:color w:val="00B050"/>
            </w:rPr>
            <w:t>N</w:t>
          </w:r>
          <w:r w:rsidRPr="000469A7">
            <w:rPr>
              <w:color w:val="FF0000"/>
            </w:rPr>
            <w:t>I</w:t>
          </w:r>
          <w:r w:rsidRPr="000469A7">
            <w:rPr>
              <w:color w:val="FFC000"/>
            </w:rPr>
            <w:t>A</w:t>
          </w:r>
          <w:r w:rsidRPr="000469A7">
            <w:rPr>
              <w:color w:val="CC9900"/>
            </w:rPr>
            <w:t>T</w:t>
          </w:r>
          <w:r w:rsidRPr="000469A7">
            <w:rPr>
              <w:color w:val="808080" w:themeColor="background1" w:themeShade="80"/>
            </w:rPr>
            <w:t>F</w:t>
          </w:r>
        </w:p>
      </w:tc>
    </w:tr>
  </w:tbl>
  <w:p w:rsidR="008B0677" w:rsidRDefault="008B0677" w:rsidP="00D906D3">
    <w:pPr>
      <w:pStyle w:val="ListParagraph"/>
      <w:pBdr>
        <w:bottom w:val="single" w:sz="4" w:space="1" w:color="auto"/>
      </w:pBdr>
      <w:ind w:left="0"/>
      <w:jc w:val="right"/>
      <w:rPr>
        <w:rFonts w:asciiTheme="minorHAnsi" w:hAnsiTheme="minorHAnsi"/>
        <w:b/>
        <w:bCs/>
        <w:color w:val="000000"/>
        <w:sz w:val="20"/>
        <w:szCs w:val="24"/>
      </w:rPr>
    </w:pPr>
  </w:p>
  <w:p w:rsidR="00D50EBD" w:rsidRDefault="00CE325F" w:rsidP="00BD6875">
    <w:pPr>
      <w:pStyle w:val="Header"/>
      <w:jc w:val="right"/>
    </w:pPr>
    <w:sdt>
      <w:sdtPr>
        <w:id w:val="947737594"/>
        <w:docPartObj>
          <w:docPartGallery w:val="Watermarks"/>
          <w:docPartUnique/>
        </w:docPartObj>
      </w:sdtPr>
      <w:sdtEndPr/>
      <w:sdtContent>
        <w:r>
          <w:rPr>
            <w:noProof/>
            <w:lang w:eastAsia="zh-TW"/>
          </w:rPr>
          <w:pict w14:anchorId="53018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67254" o:spid="_x0000_s2049"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15A7B"/>
    <w:multiLevelType w:val="hybridMultilevel"/>
    <w:tmpl w:val="F460B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86151C"/>
    <w:multiLevelType w:val="hybridMultilevel"/>
    <w:tmpl w:val="2FF08C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C23A32"/>
    <w:multiLevelType w:val="hybridMultilevel"/>
    <w:tmpl w:val="B16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F1665"/>
    <w:multiLevelType w:val="hybridMultilevel"/>
    <w:tmpl w:val="C930E8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6C1819"/>
    <w:multiLevelType w:val="hybridMultilevel"/>
    <w:tmpl w:val="54B06C60"/>
    <w:lvl w:ilvl="0" w:tplc="1B4CA37E">
      <w:start w:val="1"/>
      <w:numFmt w:val="decimal"/>
      <w:lvlText w:val="(%1)"/>
      <w:lvlJc w:val="left"/>
      <w:pPr>
        <w:tabs>
          <w:tab w:val="num" w:pos="720"/>
        </w:tabs>
        <w:ind w:left="720" w:hanging="360"/>
      </w:pPr>
    </w:lvl>
    <w:lvl w:ilvl="1" w:tplc="AD5C19A0" w:tentative="1">
      <w:start w:val="1"/>
      <w:numFmt w:val="decimal"/>
      <w:lvlText w:val="(%2)"/>
      <w:lvlJc w:val="left"/>
      <w:pPr>
        <w:tabs>
          <w:tab w:val="num" w:pos="1440"/>
        </w:tabs>
        <w:ind w:left="1440" w:hanging="360"/>
      </w:pPr>
    </w:lvl>
    <w:lvl w:ilvl="2" w:tplc="5F00F78C" w:tentative="1">
      <w:start w:val="1"/>
      <w:numFmt w:val="decimal"/>
      <w:lvlText w:val="(%3)"/>
      <w:lvlJc w:val="left"/>
      <w:pPr>
        <w:tabs>
          <w:tab w:val="num" w:pos="2160"/>
        </w:tabs>
        <w:ind w:left="2160" w:hanging="360"/>
      </w:pPr>
    </w:lvl>
    <w:lvl w:ilvl="3" w:tplc="4DBC9772" w:tentative="1">
      <w:start w:val="1"/>
      <w:numFmt w:val="decimal"/>
      <w:lvlText w:val="(%4)"/>
      <w:lvlJc w:val="left"/>
      <w:pPr>
        <w:tabs>
          <w:tab w:val="num" w:pos="2880"/>
        </w:tabs>
        <w:ind w:left="2880" w:hanging="360"/>
      </w:pPr>
    </w:lvl>
    <w:lvl w:ilvl="4" w:tplc="8AAC86E6" w:tentative="1">
      <w:start w:val="1"/>
      <w:numFmt w:val="decimal"/>
      <w:lvlText w:val="(%5)"/>
      <w:lvlJc w:val="left"/>
      <w:pPr>
        <w:tabs>
          <w:tab w:val="num" w:pos="3600"/>
        </w:tabs>
        <w:ind w:left="3600" w:hanging="360"/>
      </w:pPr>
    </w:lvl>
    <w:lvl w:ilvl="5" w:tplc="8C169A3A" w:tentative="1">
      <w:start w:val="1"/>
      <w:numFmt w:val="decimal"/>
      <w:lvlText w:val="(%6)"/>
      <w:lvlJc w:val="left"/>
      <w:pPr>
        <w:tabs>
          <w:tab w:val="num" w:pos="4320"/>
        </w:tabs>
        <w:ind w:left="4320" w:hanging="360"/>
      </w:pPr>
    </w:lvl>
    <w:lvl w:ilvl="6" w:tplc="34786804" w:tentative="1">
      <w:start w:val="1"/>
      <w:numFmt w:val="decimal"/>
      <w:lvlText w:val="(%7)"/>
      <w:lvlJc w:val="left"/>
      <w:pPr>
        <w:tabs>
          <w:tab w:val="num" w:pos="5040"/>
        </w:tabs>
        <w:ind w:left="5040" w:hanging="360"/>
      </w:pPr>
    </w:lvl>
    <w:lvl w:ilvl="7" w:tplc="DCF424F8" w:tentative="1">
      <w:start w:val="1"/>
      <w:numFmt w:val="decimal"/>
      <w:lvlText w:val="(%8)"/>
      <w:lvlJc w:val="left"/>
      <w:pPr>
        <w:tabs>
          <w:tab w:val="num" w:pos="5760"/>
        </w:tabs>
        <w:ind w:left="5760" w:hanging="360"/>
      </w:pPr>
    </w:lvl>
    <w:lvl w:ilvl="8" w:tplc="B9603020" w:tentative="1">
      <w:start w:val="1"/>
      <w:numFmt w:val="decimal"/>
      <w:lvlText w:val="(%9)"/>
      <w:lvlJc w:val="left"/>
      <w:pPr>
        <w:tabs>
          <w:tab w:val="num" w:pos="6480"/>
        </w:tabs>
        <w:ind w:left="6480" w:hanging="360"/>
      </w:pPr>
    </w:lvl>
  </w:abstractNum>
  <w:abstractNum w:abstractNumId="6">
    <w:nsid w:val="1A502BC5"/>
    <w:multiLevelType w:val="hybridMultilevel"/>
    <w:tmpl w:val="AD0A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30E3A"/>
    <w:multiLevelType w:val="hybridMultilevel"/>
    <w:tmpl w:val="0A8C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65ABA"/>
    <w:multiLevelType w:val="hybridMultilevel"/>
    <w:tmpl w:val="9DAC4946"/>
    <w:lvl w:ilvl="0" w:tplc="532AEABC">
      <w:start w:val="1"/>
      <w:numFmt w:val="bullet"/>
      <w:lvlText w:val=""/>
      <w:lvlJc w:val="left"/>
      <w:pPr>
        <w:tabs>
          <w:tab w:val="num" w:pos="720"/>
        </w:tabs>
        <w:ind w:left="720" w:hanging="360"/>
      </w:pPr>
      <w:rPr>
        <w:rFonts w:ascii="Wingdings" w:hAnsi="Wingdings" w:hint="default"/>
      </w:rPr>
    </w:lvl>
    <w:lvl w:ilvl="1" w:tplc="C09478DC">
      <w:start w:val="1"/>
      <w:numFmt w:val="bullet"/>
      <w:lvlText w:val=""/>
      <w:lvlJc w:val="left"/>
      <w:pPr>
        <w:tabs>
          <w:tab w:val="num" w:pos="1440"/>
        </w:tabs>
        <w:ind w:left="1440" w:hanging="360"/>
      </w:pPr>
      <w:rPr>
        <w:rFonts w:ascii="Wingdings" w:hAnsi="Wingdings" w:hint="default"/>
      </w:rPr>
    </w:lvl>
    <w:lvl w:ilvl="2" w:tplc="33EAE42E">
      <w:start w:val="1"/>
      <w:numFmt w:val="bullet"/>
      <w:lvlText w:val=""/>
      <w:lvlJc w:val="left"/>
      <w:pPr>
        <w:tabs>
          <w:tab w:val="num" w:pos="2160"/>
        </w:tabs>
        <w:ind w:left="2160" w:hanging="360"/>
      </w:pPr>
      <w:rPr>
        <w:rFonts w:ascii="Wingdings" w:hAnsi="Wingdings" w:hint="default"/>
      </w:rPr>
    </w:lvl>
    <w:lvl w:ilvl="3" w:tplc="465CA3BA">
      <w:start w:val="1"/>
      <w:numFmt w:val="bullet"/>
      <w:lvlText w:val=""/>
      <w:lvlJc w:val="left"/>
      <w:pPr>
        <w:tabs>
          <w:tab w:val="num" w:pos="2880"/>
        </w:tabs>
        <w:ind w:left="2880" w:hanging="360"/>
      </w:pPr>
      <w:rPr>
        <w:rFonts w:ascii="Wingdings" w:hAnsi="Wingdings" w:hint="default"/>
      </w:rPr>
    </w:lvl>
    <w:lvl w:ilvl="4" w:tplc="C0EE16DC">
      <w:start w:val="1"/>
      <w:numFmt w:val="bullet"/>
      <w:lvlText w:val=""/>
      <w:lvlJc w:val="left"/>
      <w:pPr>
        <w:tabs>
          <w:tab w:val="num" w:pos="3600"/>
        </w:tabs>
        <w:ind w:left="3600" w:hanging="360"/>
      </w:pPr>
      <w:rPr>
        <w:rFonts w:ascii="Wingdings" w:hAnsi="Wingdings" w:hint="default"/>
      </w:rPr>
    </w:lvl>
    <w:lvl w:ilvl="5" w:tplc="557AA52C">
      <w:start w:val="1"/>
      <w:numFmt w:val="bullet"/>
      <w:lvlText w:val=""/>
      <w:lvlJc w:val="left"/>
      <w:pPr>
        <w:tabs>
          <w:tab w:val="num" w:pos="4320"/>
        </w:tabs>
        <w:ind w:left="4320" w:hanging="360"/>
      </w:pPr>
      <w:rPr>
        <w:rFonts w:ascii="Wingdings" w:hAnsi="Wingdings" w:hint="default"/>
      </w:rPr>
    </w:lvl>
    <w:lvl w:ilvl="6" w:tplc="FB800BDC">
      <w:start w:val="1"/>
      <w:numFmt w:val="bullet"/>
      <w:lvlText w:val=""/>
      <w:lvlJc w:val="left"/>
      <w:pPr>
        <w:tabs>
          <w:tab w:val="num" w:pos="5040"/>
        </w:tabs>
        <w:ind w:left="5040" w:hanging="360"/>
      </w:pPr>
      <w:rPr>
        <w:rFonts w:ascii="Wingdings" w:hAnsi="Wingdings" w:hint="default"/>
      </w:rPr>
    </w:lvl>
    <w:lvl w:ilvl="7" w:tplc="4C8A9F8C">
      <w:start w:val="1"/>
      <w:numFmt w:val="bullet"/>
      <w:lvlText w:val=""/>
      <w:lvlJc w:val="left"/>
      <w:pPr>
        <w:tabs>
          <w:tab w:val="num" w:pos="5760"/>
        </w:tabs>
        <w:ind w:left="5760" w:hanging="360"/>
      </w:pPr>
      <w:rPr>
        <w:rFonts w:ascii="Wingdings" w:hAnsi="Wingdings" w:hint="default"/>
      </w:rPr>
    </w:lvl>
    <w:lvl w:ilvl="8" w:tplc="6684621A">
      <w:start w:val="1"/>
      <w:numFmt w:val="bullet"/>
      <w:lvlText w:val=""/>
      <w:lvlJc w:val="left"/>
      <w:pPr>
        <w:tabs>
          <w:tab w:val="num" w:pos="6480"/>
        </w:tabs>
        <w:ind w:left="6480" w:hanging="360"/>
      </w:pPr>
      <w:rPr>
        <w:rFonts w:ascii="Wingdings" w:hAnsi="Wingdings" w:hint="default"/>
      </w:rPr>
    </w:lvl>
  </w:abstractNum>
  <w:abstractNum w:abstractNumId="9">
    <w:nsid w:val="26467481"/>
    <w:multiLevelType w:val="hybridMultilevel"/>
    <w:tmpl w:val="9996A494"/>
    <w:lvl w:ilvl="0" w:tplc="0409000F">
      <w:start w:val="1"/>
      <w:numFmt w:val="decimal"/>
      <w:lvlText w:val="%1."/>
      <w:lvlJc w:val="left"/>
      <w:pPr>
        <w:ind w:left="720" w:hanging="360"/>
      </w:pPr>
      <w:rPr>
        <w:rFonts w:hint="default"/>
      </w:rPr>
    </w:lvl>
    <w:lvl w:ilvl="1" w:tplc="5F06BD4A">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27347"/>
    <w:multiLevelType w:val="hybridMultilevel"/>
    <w:tmpl w:val="8B90AEA6"/>
    <w:lvl w:ilvl="0" w:tplc="858492A0">
      <w:start w:val="1"/>
      <w:numFmt w:val="bullet"/>
      <w:lvlText w:val="•"/>
      <w:lvlJc w:val="left"/>
      <w:pPr>
        <w:tabs>
          <w:tab w:val="num" w:pos="720"/>
        </w:tabs>
        <w:ind w:left="720" w:hanging="360"/>
      </w:pPr>
      <w:rPr>
        <w:rFonts w:ascii="Arial" w:hAnsi="Arial" w:hint="default"/>
      </w:rPr>
    </w:lvl>
    <w:lvl w:ilvl="1" w:tplc="6F50D592">
      <w:start w:val="1"/>
      <w:numFmt w:val="bullet"/>
      <w:lvlText w:val="•"/>
      <w:lvlJc w:val="left"/>
      <w:pPr>
        <w:tabs>
          <w:tab w:val="num" w:pos="1440"/>
        </w:tabs>
        <w:ind w:left="1440" w:hanging="360"/>
      </w:pPr>
      <w:rPr>
        <w:rFonts w:ascii="Arial" w:hAnsi="Arial" w:hint="default"/>
      </w:rPr>
    </w:lvl>
    <w:lvl w:ilvl="2" w:tplc="C9B6E1FC" w:tentative="1">
      <w:start w:val="1"/>
      <w:numFmt w:val="bullet"/>
      <w:lvlText w:val="•"/>
      <w:lvlJc w:val="left"/>
      <w:pPr>
        <w:tabs>
          <w:tab w:val="num" w:pos="2160"/>
        </w:tabs>
        <w:ind w:left="2160" w:hanging="360"/>
      </w:pPr>
      <w:rPr>
        <w:rFonts w:ascii="Arial" w:hAnsi="Arial" w:hint="default"/>
      </w:rPr>
    </w:lvl>
    <w:lvl w:ilvl="3" w:tplc="25769E3C" w:tentative="1">
      <w:start w:val="1"/>
      <w:numFmt w:val="bullet"/>
      <w:lvlText w:val="•"/>
      <w:lvlJc w:val="left"/>
      <w:pPr>
        <w:tabs>
          <w:tab w:val="num" w:pos="2880"/>
        </w:tabs>
        <w:ind w:left="2880" w:hanging="360"/>
      </w:pPr>
      <w:rPr>
        <w:rFonts w:ascii="Arial" w:hAnsi="Arial" w:hint="default"/>
      </w:rPr>
    </w:lvl>
    <w:lvl w:ilvl="4" w:tplc="EDE89AE2" w:tentative="1">
      <w:start w:val="1"/>
      <w:numFmt w:val="bullet"/>
      <w:lvlText w:val="•"/>
      <w:lvlJc w:val="left"/>
      <w:pPr>
        <w:tabs>
          <w:tab w:val="num" w:pos="3600"/>
        </w:tabs>
        <w:ind w:left="3600" w:hanging="360"/>
      </w:pPr>
      <w:rPr>
        <w:rFonts w:ascii="Arial" w:hAnsi="Arial" w:hint="default"/>
      </w:rPr>
    </w:lvl>
    <w:lvl w:ilvl="5" w:tplc="57AE0082" w:tentative="1">
      <w:start w:val="1"/>
      <w:numFmt w:val="bullet"/>
      <w:lvlText w:val="•"/>
      <w:lvlJc w:val="left"/>
      <w:pPr>
        <w:tabs>
          <w:tab w:val="num" w:pos="4320"/>
        </w:tabs>
        <w:ind w:left="4320" w:hanging="360"/>
      </w:pPr>
      <w:rPr>
        <w:rFonts w:ascii="Arial" w:hAnsi="Arial" w:hint="default"/>
      </w:rPr>
    </w:lvl>
    <w:lvl w:ilvl="6" w:tplc="CA221528" w:tentative="1">
      <w:start w:val="1"/>
      <w:numFmt w:val="bullet"/>
      <w:lvlText w:val="•"/>
      <w:lvlJc w:val="left"/>
      <w:pPr>
        <w:tabs>
          <w:tab w:val="num" w:pos="5040"/>
        </w:tabs>
        <w:ind w:left="5040" w:hanging="360"/>
      </w:pPr>
      <w:rPr>
        <w:rFonts w:ascii="Arial" w:hAnsi="Arial" w:hint="default"/>
      </w:rPr>
    </w:lvl>
    <w:lvl w:ilvl="7" w:tplc="13F4C5B6" w:tentative="1">
      <w:start w:val="1"/>
      <w:numFmt w:val="bullet"/>
      <w:lvlText w:val="•"/>
      <w:lvlJc w:val="left"/>
      <w:pPr>
        <w:tabs>
          <w:tab w:val="num" w:pos="5760"/>
        </w:tabs>
        <w:ind w:left="5760" w:hanging="360"/>
      </w:pPr>
      <w:rPr>
        <w:rFonts w:ascii="Arial" w:hAnsi="Arial" w:hint="default"/>
      </w:rPr>
    </w:lvl>
    <w:lvl w:ilvl="8" w:tplc="5E74227E" w:tentative="1">
      <w:start w:val="1"/>
      <w:numFmt w:val="bullet"/>
      <w:lvlText w:val="•"/>
      <w:lvlJc w:val="left"/>
      <w:pPr>
        <w:tabs>
          <w:tab w:val="num" w:pos="6480"/>
        </w:tabs>
        <w:ind w:left="6480" w:hanging="360"/>
      </w:pPr>
      <w:rPr>
        <w:rFonts w:ascii="Arial" w:hAnsi="Arial" w:hint="default"/>
      </w:rPr>
    </w:lvl>
  </w:abstractNum>
  <w:abstractNum w:abstractNumId="11">
    <w:nsid w:val="2BE657F7"/>
    <w:multiLevelType w:val="hybridMultilevel"/>
    <w:tmpl w:val="B226D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631EBD"/>
    <w:multiLevelType w:val="hybridMultilevel"/>
    <w:tmpl w:val="19B6C1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426C20"/>
    <w:multiLevelType w:val="hybridMultilevel"/>
    <w:tmpl w:val="8B4EB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E201D9"/>
    <w:multiLevelType w:val="hybridMultilevel"/>
    <w:tmpl w:val="08AC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B4B68"/>
    <w:multiLevelType w:val="hybridMultilevel"/>
    <w:tmpl w:val="25E2A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207BE2"/>
    <w:multiLevelType w:val="hybridMultilevel"/>
    <w:tmpl w:val="B3B0D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0979BA"/>
    <w:multiLevelType w:val="hybridMultilevel"/>
    <w:tmpl w:val="50A2F0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26950"/>
    <w:multiLevelType w:val="hybridMultilevel"/>
    <w:tmpl w:val="FC52A3EE"/>
    <w:lvl w:ilvl="0" w:tplc="7ACC7CDC">
      <w:start w:val="1"/>
      <w:numFmt w:val="bullet"/>
      <w:lvlText w:val="•"/>
      <w:lvlJc w:val="left"/>
      <w:pPr>
        <w:tabs>
          <w:tab w:val="num" w:pos="720"/>
        </w:tabs>
        <w:ind w:left="720" w:hanging="360"/>
      </w:pPr>
      <w:rPr>
        <w:rFonts w:ascii="Times New Roman" w:hAnsi="Times New Roman" w:hint="default"/>
      </w:rPr>
    </w:lvl>
    <w:lvl w:ilvl="1" w:tplc="777C3CCC" w:tentative="1">
      <w:start w:val="1"/>
      <w:numFmt w:val="bullet"/>
      <w:lvlText w:val="•"/>
      <w:lvlJc w:val="left"/>
      <w:pPr>
        <w:tabs>
          <w:tab w:val="num" w:pos="1440"/>
        </w:tabs>
        <w:ind w:left="1440" w:hanging="360"/>
      </w:pPr>
      <w:rPr>
        <w:rFonts w:ascii="Times New Roman" w:hAnsi="Times New Roman" w:hint="default"/>
      </w:rPr>
    </w:lvl>
    <w:lvl w:ilvl="2" w:tplc="CC14BC4A" w:tentative="1">
      <w:start w:val="1"/>
      <w:numFmt w:val="bullet"/>
      <w:lvlText w:val="•"/>
      <w:lvlJc w:val="left"/>
      <w:pPr>
        <w:tabs>
          <w:tab w:val="num" w:pos="2160"/>
        </w:tabs>
        <w:ind w:left="2160" w:hanging="360"/>
      </w:pPr>
      <w:rPr>
        <w:rFonts w:ascii="Times New Roman" w:hAnsi="Times New Roman" w:hint="default"/>
      </w:rPr>
    </w:lvl>
    <w:lvl w:ilvl="3" w:tplc="EE84015A" w:tentative="1">
      <w:start w:val="1"/>
      <w:numFmt w:val="bullet"/>
      <w:lvlText w:val="•"/>
      <w:lvlJc w:val="left"/>
      <w:pPr>
        <w:tabs>
          <w:tab w:val="num" w:pos="2880"/>
        </w:tabs>
        <w:ind w:left="2880" w:hanging="360"/>
      </w:pPr>
      <w:rPr>
        <w:rFonts w:ascii="Times New Roman" w:hAnsi="Times New Roman" w:hint="default"/>
      </w:rPr>
    </w:lvl>
    <w:lvl w:ilvl="4" w:tplc="353458A0" w:tentative="1">
      <w:start w:val="1"/>
      <w:numFmt w:val="bullet"/>
      <w:lvlText w:val="•"/>
      <w:lvlJc w:val="left"/>
      <w:pPr>
        <w:tabs>
          <w:tab w:val="num" w:pos="3600"/>
        </w:tabs>
        <w:ind w:left="3600" w:hanging="360"/>
      </w:pPr>
      <w:rPr>
        <w:rFonts w:ascii="Times New Roman" w:hAnsi="Times New Roman" w:hint="default"/>
      </w:rPr>
    </w:lvl>
    <w:lvl w:ilvl="5" w:tplc="77DCCB70" w:tentative="1">
      <w:start w:val="1"/>
      <w:numFmt w:val="bullet"/>
      <w:lvlText w:val="•"/>
      <w:lvlJc w:val="left"/>
      <w:pPr>
        <w:tabs>
          <w:tab w:val="num" w:pos="4320"/>
        </w:tabs>
        <w:ind w:left="4320" w:hanging="360"/>
      </w:pPr>
      <w:rPr>
        <w:rFonts w:ascii="Times New Roman" w:hAnsi="Times New Roman" w:hint="default"/>
      </w:rPr>
    </w:lvl>
    <w:lvl w:ilvl="6" w:tplc="28849C04" w:tentative="1">
      <w:start w:val="1"/>
      <w:numFmt w:val="bullet"/>
      <w:lvlText w:val="•"/>
      <w:lvlJc w:val="left"/>
      <w:pPr>
        <w:tabs>
          <w:tab w:val="num" w:pos="5040"/>
        </w:tabs>
        <w:ind w:left="5040" w:hanging="360"/>
      </w:pPr>
      <w:rPr>
        <w:rFonts w:ascii="Times New Roman" w:hAnsi="Times New Roman" w:hint="default"/>
      </w:rPr>
    </w:lvl>
    <w:lvl w:ilvl="7" w:tplc="D570EB40" w:tentative="1">
      <w:start w:val="1"/>
      <w:numFmt w:val="bullet"/>
      <w:lvlText w:val="•"/>
      <w:lvlJc w:val="left"/>
      <w:pPr>
        <w:tabs>
          <w:tab w:val="num" w:pos="5760"/>
        </w:tabs>
        <w:ind w:left="5760" w:hanging="360"/>
      </w:pPr>
      <w:rPr>
        <w:rFonts w:ascii="Times New Roman" w:hAnsi="Times New Roman" w:hint="default"/>
      </w:rPr>
    </w:lvl>
    <w:lvl w:ilvl="8" w:tplc="A14C62A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39F4808"/>
    <w:multiLevelType w:val="hybridMultilevel"/>
    <w:tmpl w:val="2ABCD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8E60E7"/>
    <w:multiLevelType w:val="hybridMultilevel"/>
    <w:tmpl w:val="A21C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A150B8"/>
    <w:multiLevelType w:val="hybridMultilevel"/>
    <w:tmpl w:val="EE442E16"/>
    <w:lvl w:ilvl="0" w:tplc="86B8E73C">
      <w:start w:val="1"/>
      <w:numFmt w:val="bullet"/>
      <w:lvlText w:val="•"/>
      <w:lvlJc w:val="left"/>
      <w:pPr>
        <w:tabs>
          <w:tab w:val="num" w:pos="720"/>
        </w:tabs>
        <w:ind w:left="720" w:hanging="360"/>
      </w:pPr>
      <w:rPr>
        <w:rFonts w:ascii="Arial" w:hAnsi="Arial" w:hint="default"/>
      </w:rPr>
    </w:lvl>
    <w:lvl w:ilvl="1" w:tplc="9F0275CA" w:tentative="1">
      <w:start w:val="1"/>
      <w:numFmt w:val="bullet"/>
      <w:lvlText w:val="•"/>
      <w:lvlJc w:val="left"/>
      <w:pPr>
        <w:tabs>
          <w:tab w:val="num" w:pos="1440"/>
        </w:tabs>
        <w:ind w:left="1440" w:hanging="360"/>
      </w:pPr>
      <w:rPr>
        <w:rFonts w:ascii="Arial" w:hAnsi="Arial" w:hint="default"/>
      </w:rPr>
    </w:lvl>
    <w:lvl w:ilvl="2" w:tplc="68E20590" w:tentative="1">
      <w:start w:val="1"/>
      <w:numFmt w:val="bullet"/>
      <w:lvlText w:val="•"/>
      <w:lvlJc w:val="left"/>
      <w:pPr>
        <w:tabs>
          <w:tab w:val="num" w:pos="2160"/>
        </w:tabs>
        <w:ind w:left="2160" w:hanging="360"/>
      </w:pPr>
      <w:rPr>
        <w:rFonts w:ascii="Arial" w:hAnsi="Arial" w:hint="default"/>
      </w:rPr>
    </w:lvl>
    <w:lvl w:ilvl="3" w:tplc="B7FA9EE8" w:tentative="1">
      <w:start w:val="1"/>
      <w:numFmt w:val="bullet"/>
      <w:lvlText w:val="•"/>
      <w:lvlJc w:val="left"/>
      <w:pPr>
        <w:tabs>
          <w:tab w:val="num" w:pos="2880"/>
        </w:tabs>
        <w:ind w:left="2880" w:hanging="360"/>
      </w:pPr>
      <w:rPr>
        <w:rFonts w:ascii="Arial" w:hAnsi="Arial" w:hint="default"/>
      </w:rPr>
    </w:lvl>
    <w:lvl w:ilvl="4" w:tplc="C5D2A036" w:tentative="1">
      <w:start w:val="1"/>
      <w:numFmt w:val="bullet"/>
      <w:lvlText w:val="•"/>
      <w:lvlJc w:val="left"/>
      <w:pPr>
        <w:tabs>
          <w:tab w:val="num" w:pos="3600"/>
        </w:tabs>
        <w:ind w:left="3600" w:hanging="360"/>
      </w:pPr>
      <w:rPr>
        <w:rFonts w:ascii="Arial" w:hAnsi="Arial" w:hint="default"/>
      </w:rPr>
    </w:lvl>
    <w:lvl w:ilvl="5" w:tplc="C2FE11AA" w:tentative="1">
      <w:start w:val="1"/>
      <w:numFmt w:val="bullet"/>
      <w:lvlText w:val="•"/>
      <w:lvlJc w:val="left"/>
      <w:pPr>
        <w:tabs>
          <w:tab w:val="num" w:pos="4320"/>
        </w:tabs>
        <w:ind w:left="4320" w:hanging="360"/>
      </w:pPr>
      <w:rPr>
        <w:rFonts w:ascii="Arial" w:hAnsi="Arial" w:hint="default"/>
      </w:rPr>
    </w:lvl>
    <w:lvl w:ilvl="6" w:tplc="F3826B2C" w:tentative="1">
      <w:start w:val="1"/>
      <w:numFmt w:val="bullet"/>
      <w:lvlText w:val="•"/>
      <w:lvlJc w:val="left"/>
      <w:pPr>
        <w:tabs>
          <w:tab w:val="num" w:pos="5040"/>
        </w:tabs>
        <w:ind w:left="5040" w:hanging="360"/>
      </w:pPr>
      <w:rPr>
        <w:rFonts w:ascii="Arial" w:hAnsi="Arial" w:hint="default"/>
      </w:rPr>
    </w:lvl>
    <w:lvl w:ilvl="7" w:tplc="EFBED71A" w:tentative="1">
      <w:start w:val="1"/>
      <w:numFmt w:val="bullet"/>
      <w:lvlText w:val="•"/>
      <w:lvlJc w:val="left"/>
      <w:pPr>
        <w:tabs>
          <w:tab w:val="num" w:pos="5760"/>
        </w:tabs>
        <w:ind w:left="5760" w:hanging="360"/>
      </w:pPr>
      <w:rPr>
        <w:rFonts w:ascii="Arial" w:hAnsi="Arial" w:hint="default"/>
      </w:rPr>
    </w:lvl>
    <w:lvl w:ilvl="8" w:tplc="AA528D4C" w:tentative="1">
      <w:start w:val="1"/>
      <w:numFmt w:val="bullet"/>
      <w:lvlText w:val="•"/>
      <w:lvlJc w:val="left"/>
      <w:pPr>
        <w:tabs>
          <w:tab w:val="num" w:pos="6480"/>
        </w:tabs>
        <w:ind w:left="6480" w:hanging="360"/>
      </w:pPr>
      <w:rPr>
        <w:rFonts w:ascii="Arial" w:hAnsi="Arial" w:hint="default"/>
      </w:rPr>
    </w:lvl>
  </w:abstractNum>
  <w:abstractNum w:abstractNumId="22">
    <w:nsid w:val="623C5EBD"/>
    <w:multiLevelType w:val="hybridMultilevel"/>
    <w:tmpl w:val="8AA8C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284242C"/>
    <w:multiLevelType w:val="hybridMultilevel"/>
    <w:tmpl w:val="E2AEB248"/>
    <w:lvl w:ilvl="0" w:tplc="0E88DD3A">
      <w:start w:val="1"/>
      <w:numFmt w:val="bullet"/>
      <w:lvlText w:val="•"/>
      <w:lvlJc w:val="left"/>
      <w:pPr>
        <w:tabs>
          <w:tab w:val="num" w:pos="720"/>
        </w:tabs>
        <w:ind w:left="720" w:hanging="360"/>
      </w:pPr>
      <w:rPr>
        <w:rFonts w:ascii="Arial" w:hAnsi="Arial" w:hint="default"/>
      </w:rPr>
    </w:lvl>
    <w:lvl w:ilvl="1" w:tplc="74682F0E">
      <w:start w:val="1"/>
      <w:numFmt w:val="bullet"/>
      <w:lvlText w:val="•"/>
      <w:lvlJc w:val="left"/>
      <w:pPr>
        <w:tabs>
          <w:tab w:val="num" w:pos="1440"/>
        </w:tabs>
        <w:ind w:left="1440" w:hanging="360"/>
      </w:pPr>
      <w:rPr>
        <w:rFonts w:ascii="Arial" w:hAnsi="Arial" w:hint="default"/>
      </w:rPr>
    </w:lvl>
    <w:lvl w:ilvl="2" w:tplc="9022E5E0" w:tentative="1">
      <w:start w:val="1"/>
      <w:numFmt w:val="bullet"/>
      <w:lvlText w:val="•"/>
      <w:lvlJc w:val="left"/>
      <w:pPr>
        <w:tabs>
          <w:tab w:val="num" w:pos="2160"/>
        </w:tabs>
        <w:ind w:left="2160" w:hanging="360"/>
      </w:pPr>
      <w:rPr>
        <w:rFonts w:ascii="Arial" w:hAnsi="Arial" w:hint="default"/>
      </w:rPr>
    </w:lvl>
    <w:lvl w:ilvl="3" w:tplc="82C41866" w:tentative="1">
      <w:start w:val="1"/>
      <w:numFmt w:val="bullet"/>
      <w:lvlText w:val="•"/>
      <w:lvlJc w:val="left"/>
      <w:pPr>
        <w:tabs>
          <w:tab w:val="num" w:pos="2880"/>
        </w:tabs>
        <w:ind w:left="2880" w:hanging="360"/>
      </w:pPr>
      <w:rPr>
        <w:rFonts w:ascii="Arial" w:hAnsi="Arial" w:hint="default"/>
      </w:rPr>
    </w:lvl>
    <w:lvl w:ilvl="4" w:tplc="4A6A357C" w:tentative="1">
      <w:start w:val="1"/>
      <w:numFmt w:val="bullet"/>
      <w:lvlText w:val="•"/>
      <w:lvlJc w:val="left"/>
      <w:pPr>
        <w:tabs>
          <w:tab w:val="num" w:pos="3600"/>
        </w:tabs>
        <w:ind w:left="3600" w:hanging="360"/>
      </w:pPr>
      <w:rPr>
        <w:rFonts w:ascii="Arial" w:hAnsi="Arial" w:hint="default"/>
      </w:rPr>
    </w:lvl>
    <w:lvl w:ilvl="5" w:tplc="25D83A0C" w:tentative="1">
      <w:start w:val="1"/>
      <w:numFmt w:val="bullet"/>
      <w:lvlText w:val="•"/>
      <w:lvlJc w:val="left"/>
      <w:pPr>
        <w:tabs>
          <w:tab w:val="num" w:pos="4320"/>
        </w:tabs>
        <w:ind w:left="4320" w:hanging="360"/>
      </w:pPr>
      <w:rPr>
        <w:rFonts w:ascii="Arial" w:hAnsi="Arial" w:hint="default"/>
      </w:rPr>
    </w:lvl>
    <w:lvl w:ilvl="6" w:tplc="61D813AA" w:tentative="1">
      <w:start w:val="1"/>
      <w:numFmt w:val="bullet"/>
      <w:lvlText w:val="•"/>
      <w:lvlJc w:val="left"/>
      <w:pPr>
        <w:tabs>
          <w:tab w:val="num" w:pos="5040"/>
        </w:tabs>
        <w:ind w:left="5040" w:hanging="360"/>
      </w:pPr>
      <w:rPr>
        <w:rFonts w:ascii="Arial" w:hAnsi="Arial" w:hint="default"/>
      </w:rPr>
    </w:lvl>
    <w:lvl w:ilvl="7" w:tplc="AB5EDCDE" w:tentative="1">
      <w:start w:val="1"/>
      <w:numFmt w:val="bullet"/>
      <w:lvlText w:val="•"/>
      <w:lvlJc w:val="left"/>
      <w:pPr>
        <w:tabs>
          <w:tab w:val="num" w:pos="5760"/>
        </w:tabs>
        <w:ind w:left="5760" w:hanging="360"/>
      </w:pPr>
      <w:rPr>
        <w:rFonts w:ascii="Arial" w:hAnsi="Arial" w:hint="default"/>
      </w:rPr>
    </w:lvl>
    <w:lvl w:ilvl="8" w:tplc="C25CE514" w:tentative="1">
      <w:start w:val="1"/>
      <w:numFmt w:val="bullet"/>
      <w:lvlText w:val="•"/>
      <w:lvlJc w:val="left"/>
      <w:pPr>
        <w:tabs>
          <w:tab w:val="num" w:pos="6480"/>
        </w:tabs>
        <w:ind w:left="6480" w:hanging="360"/>
      </w:pPr>
      <w:rPr>
        <w:rFonts w:ascii="Arial" w:hAnsi="Arial" w:hint="default"/>
      </w:rPr>
    </w:lvl>
  </w:abstractNum>
  <w:abstractNum w:abstractNumId="24">
    <w:nsid w:val="62A47016"/>
    <w:multiLevelType w:val="hybridMultilevel"/>
    <w:tmpl w:val="A37E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AC223A"/>
    <w:multiLevelType w:val="hybridMultilevel"/>
    <w:tmpl w:val="74A4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A3F5F"/>
    <w:multiLevelType w:val="hybridMultilevel"/>
    <w:tmpl w:val="4654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860516"/>
    <w:multiLevelType w:val="hybridMultilevel"/>
    <w:tmpl w:val="9F4E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96660"/>
    <w:multiLevelType w:val="hybridMultilevel"/>
    <w:tmpl w:val="9996A494"/>
    <w:lvl w:ilvl="0" w:tplc="0409000F">
      <w:start w:val="1"/>
      <w:numFmt w:val="decimal"/>
      <w:lvlText w:val="%1."/>
      <w:lvlJc w:val="left"/>
      <w:pPr>
        <w:ind w:left="720" w:hanging="360"/>
      </w:pPr>
      <w:rPr>
        <w:rFonts w:hint="default"/>
      </w:rPr>
    </w:lvl>
    <w:lvl w:ilvl="1" w:tplc="5F06BD4A">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811A2F"/>
    <w:multiLevelType w:val="hybridMultilevel"/>
    <w:tmpl w:val="7FE2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F3F55"/>
    <w:multiLevelType w:val="hybridMultilevel"/>
    <w:tmpl w:val="CE86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1"/>
  </w:num>
  <w:num w:numId="4">
    <w:abstractNumId w:val="15"/>
  </w:num>
  <w:num w:numId="5">
    <w:abstractNumId w:val="1"/>
  </w:num>
  <w:num w:numId="6">
    <w:abstractNumId w:val="6"/>
  </w:num>
  <w:num w:numId="7">
    <w:abstractNumId w:val="2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4"/>
  </w:num>
  <w:num w:numId="12">
    <w:abstractNumId w:val="28"/>
  </w:num>
  <w:num w:numId="13">
    <w:abstractNumId w:val="7"/>
  </w:num>
  <w:num w:numId="14">
    <w:abstractNumId w:val="30"/>
  </w:num>
  <w:num w:numId="15">
    <w:abstractNumId w:val="25"/>
  </w:num>
  <w:num w:numId="16">
    <w:abstractNumId w:val="20"/>
  </w:num>
  <w:num w:numId="17">
    <w:abstractNumId w:val="10"/>
  </w:num>
  <w:num w:numId="18">
    <w:abstractNumId w:val="13"/>
  </w:num>
  <w:num w:numId="19">
    <w:abstractNumId w:val="23"/>
  </w:num>
  <w:num w:numId="20">
    <w:abstractNumId w:val="18"/>
  </w:num>
  <w:num w:numId="21">
    <w:abstractNumId w:val="21"/>
  </w:num>
  <w:num w:numId="22">
    <w:abstractNumId w:val="5"/>
  </w:num>
  <w:num w:numId="23">
    <w:abstractNumId w:val="16"/>
  </w:num>
  <w:num w:numId="24">
    <w:abstractNumId w:val="9"/>
  </w:num>
  <w:num w:numId="25">
    <w:abstractNumId w:val="14"/>
  </w:num>
  <w:num w:numId="26">
    <w:abstractNumId w:val="17"/>
  </w:num>
  <w:num w:numId="27">
    <w:abstractNumId w:val="3"/>
  </w:num>
  <w:num w:numId="28">
    <w:abstractNumId w:val="27"/>
  </w:num>
  <w:num w:numId="29">
    <w:abstractNumId w:val="29"/>
  </w:num>
  <w:num w:numId="30">
    <w:abstractNumId w:val="2"/>
  </w:num>
  <w:num w:numId="31">
    <w:abstractNumId w:val="19"/>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25"/>
    <w:rsid w:val="0000018E"/>
    <w:rsid w:val="00001237"/>
    <w:rsid w:val="00003671"/>
    <w:rsid w:val="00005958"/>
    <w:rsid w:val="000572CD"/>
    <w:rsid w:val="00063DEF"/>
    <w:rsid w:val="0007066A"/>
    <w:rsid w:val="0007764C"/>
    <w:rsid w:val="000862D4"/>
    <w:rsid w:val="000A0ECA"/>
    <w:rsid w:val="000A1301"/>
    <w:rsid w:val="000A2B4E"/>
    <w:rsid w:val="000A2D17"/>
    <w:rsid w:val="000B1303"/>
    <w:rsid w:val="000B255C"/>
    <w:rsid w:val="000B3EB7"/>
    <w:rsid w:val="000B681A"/>
    <w:rsid w:val="000E3155"/>
    <w:rsid w:val="000F0B09"/>
    <w:rsid w:val="000F4345"/>
    <w:rsid w:val="000F5C63"/>
    <w:rsid w:val="001058A2"/>
    <w:rsid w:val="001079E9"/>
    <w:rsid w:val="00110E46"/>
    <w:rsid w:val="001143D9"/>
    <w:rsid w:val="0011766D"/>
    <w:rsid w:val="00117B44"/>
    <w:rsid w:val="00121A06"/>
    <w:rsid w:val="00124AE4"/>
    <w:rsid w:val="00133B50"/>
    <w:rsid w:val="001528B4"/>
    <w:rsid w:val="00164F9F"/>
    <w:rsid w:val="00175AE4"/>
    <w:rsid w:val="00180BB3"/>
    <w:rsid w:val="00180CCC"/>
    <w:rsid w:val="0018548E"/>
    <w:rsid w:val="001878D2"/>
    <w:rsid w:val="00191193"/>
    <w:rsid w:val="001939A3"/>
    <w:rsid w:val="001A01B9"/>
    <w:rsid w:val="001A5ED4"/>
    <w:rsid w:val="001B0B1F"/>
    <w:rsid w:val="001D623B"/>
    <w:rsid w:val="001E52E3"/>
    <w:rsid w:val="001E6935"/>
    <w:rsid w:val="001E7782"/>
    <w:rsid w:val="001F14D0"/>
    <w:rsid w:val="001F4BD0"/>
    <w:rsid w:val="00206AEA"/>
    <w:rsid w:val="00212059"/>
    <w:rsid w:val="00215D41"/>
    <w:rsid w:val="00230EDE"/>
    <w:rsid w:val="002443E5"/>
    <w:rsid w:val="0024553A"/>
    <w:rsid w:val="0025393E"/>
    <w:rsid w:val="0025462A"/>
    <w:rsid w:val="00257D65"/>
    <w:rsid w:val="002643D9"/>
    <w:rsid w:val="00266214"/>
    <w:rsid w:val="0026641F"/>
    <w:rsid w:val="00266BFD"/>
    <w:rsid w:val="00286776"/>
    <w:rsid w:val="002914A7"/>
    <w:rsid w:val="00295EF8"/>
    <w:rsid w:val="0029727C"/>
    <w:rsid w:val="002A0A7D"/>
    <w:rsid w:val="002B4B62"/>
    <w:rsid w:val="002E420A"/>
    <w:rsid w:val="002E626D"/>
    <w:rsid w:val="002F1654"/>
    <w:rsid w:val="00312B90"/>
    <w:rsid w:val="00315F5E"/>
    <w:rsid w:val="0032044F"/>
    <w:rsid w:val="00322F08"/>
    <w:rsid w:val="00334D22"/>
    <w:rsid w:val="0035063F"/>
    <w:rsid w:val="00362E36"/>
    <w:rsid w:val="00363AA2"/>
    <w:rsid w:val="00366828"/>
    <w:rsid w:val="00377DC8"/>
    <w:rsid w:val="00381059"/>
    <w:rsid w:val="0038170D"/>
    <w:rsid w:val="00384C2B"/>
    <w:rsid w:val="0038769A"/>
    <w:rsid w:val="00392412"/>
    <w:rsid w:val="00394046"/>
    <w:rsid w:val="003A05DA"/>
    <w:rsid w:val="003A74AA"/>
    <w:rsid w:val="003B168B"/>
    <w:rsid w:val="003C3604"/>
    <w:rsid w:val="003D4A10"/>
    <w:rsid w:val="003D568E"/>
    <w:rsid w:val="003E4829"/>
    <w:rsid w:val="003F0207"/>
    <w:rsid w:val="003F551D"/>
    <w:rsid w:val="00405E89"/>
    <w:rsid w:val="00410845"/>
    <w:rsid w:val="0041730D"/>
    <w:rsid w:val="004278B9"/>
    <w:rsid w:val="0045222D"/>
    <w:rsid w:val="004623BB"/>
    <w:rsid w:val="004628ED"/>
    <w:rsid w:val="00471A01"/>
    <w:rsid w:val="00475AF1"/>
    <w:rsid w:val="00476ABC"/>
    <w:rsid w:val="0048726E"/>
    <w:rsid w:val="00490F01"/>
    <w:rsid w:val="004A5E42"/>
    <w:rsid w:val="004B1ACD"/>
    <w:rsid w:val="004B7031"/>
    <w:rsid w:val="004C3536"/>
    <w:rsid w:val="004C70F8"/>
    <w:rsid w:val="004E1A78"/>
    <w:rsid w:val="00506B1D"/>
    <w:rsid w:val="0051534F"/>
    <w:rsid w:val="00522416"/>
    <w:rsid w:val="005324AD"/>
    <w:rsid w:val="005439ED"/>
    <w:rsid w:val="0055154D"/>
    <w:rsid w:val="005561AD"/>
    <w:rsid w:val="00557BCE"/>
    <w:rsid w:val="00557EDE"/>
    <w:rsid w:val="00567648"/>
    <w:rsid w:val="005800F5"/>
    <w:rsid w:val="00581A45"/>
    <w:rsid w:val="005836A7"/>
    <w:rsid w:val="0058551F"/>
    <w:rsid w:val="00585BDD"/>
    <w:rsid w:val="00590305"/>
    <w:rsid w:val="00592D90"/>
    <w:rsid w:val="005A3E22"/>
    <w:rsid w:val="005A7A92"/>
    <w:rsid w:val="005B6187"/>
    <w:rsid w:val="005B745C"/>
    <w:rsid w:val="005E195E"/>
    <w:rsid w:val="005F5921"/>
    <w:rsid w:val="00603A19"/>
    <w:rsid w:val="00610485"/>
    <w:rsid w:val="00611FAA"/>
    <w:rsid w:val="00622767"/>
    <w:rsid w:val="006340E6"/>
    <w:rsid w:val="006351E2"/>
    <w:rsid w:val="00636912"/>
    <w:rsid w:val="0064433D"/>
    <w:rsid w:val="006508C8"/>
    <w:rsid w:val="0065791C"/>
    <w:rsid w:val="00672F4A"/>
    <w:rsid w:val="00691247"/>
    <w:rsid w:val="006A3618"/>
    <w:rsid w:val="006B224D"/>
    <w:rsid w:val="006B3874"/>
    <w:rsid w:val="006B3F6F"/>
    <w:rsid w:val="006B6273"/>
    <w:rsid w:val="006C0B88"/>
    <w:rsid w:val="006C287E"/>
    <w:rsid w:val="006C6179"/>
    <w:rsid w:val="006D28F1"/>
    <w:rsid w:val="006D3761"/>
    <w:rsid w:val="006F3863"/>
    <w:rsid w:val="006F6220"/>
    <w:rsid w:val="00704D11"/>
    <w:rsid w:val="007053DA"/>
    <w:rsid w:val="007226B6"/>
    <w:rsid w:val="00731E27"/>
    <w:rsid w:val="007327A0"/>
    <w:rsid w:val="00743328"/>
    <w:rsid w:val="00751D7E"/>
    <w:rsid w:val="00755599"/>
    <w:rsid w:val="00755EAF"/>
    <w:rsid w:val="00756896"/>
    <w:rsid w:val="00757905"/>
    <w:rsid w:val="00763FEF"/>
    <w:rsid w:val="00771CF0"/>
    <w:rsid w:val="0077285A"/>
    <w:rsid w:val="007766C0"/>
    <w:rsid w:val="007776A5"/>
    <w:rsid w:val="00777E98"/>
    <w:rsid w:val="00780CD8"/>
    <w:rsid w:val="00781BFE"/>
    <w:rsid w:val="0078387E"/>
    <w:rsid w:val="00793C2E"/>
    <w:rsid w:val="00795889"/>
    <w:rsid w:val="007A2D83"/>
    <w:rsid w:val="007A3AC6"/>
    <w:rsid w:val="007A67E8"/>
    <w:rsid w:val="007A6CDE"/>
    <w:rsid w:val="007B2398"/>
    <w:rsid w:val="007B5327"/>
    <w:rsid w:val="007C36EE"/>
    <w:rsid w:val="007C6151"/>
    <w:rsid w:val="007C6E84"/>
    <w:rsid w:val="007D0B3A"/>
    <w:rsid w:val="007D14C8"/>
    <w:rsid w:val="007D7A95"/>
    <w:rsid w:val="007F2749"/>
    <w:rsid w:val="008027FD"/>
    <w:rsid w:val="00807D6D"/>
    <w:rsid w:val="00814470"/>
    <w:rsid w:val="008455EF"/>
    <w:rsid w:val="00861BED"/>
    <w:rsid w:val="008635E1"/>
    <w:rsid w:val="00865DBB"/>
    <w:rsid w:val="0087085A"/>
    <w:rsid w:val="00870EB4"/>
    <w:rsid w:val="00874822"/>
    <w:rsid w:val="0087778A"/>
    <w:rsid w:val="00877FFD"/>
    <w:rsid w:val="00882F24"/>
    <w:rsid w:val="008927BA"/>
    <w:rsid w:val="008A0413"/>
    <w:rsid w:val="008A44EE"/>
    <w:rsid w:val="008A51AD"/>
    <w:rsid w:val="008B0677"/>
    <w:rsid w:val="008B0E1A"/>
    <w:rsid w:val="008B30B3"/>
    <w:rsid w:val="008B5FBF"/>
    <w:rsid w:val="008B7A42"/>
    <w:rsid w:val="008B7F47"/>
    <w:rsid w:val="008C1405"/>
    <w:rsid w:val="008C5D67"/>
    <w:rsid w:val="008D4076"/>
    <w:rsid w:val="008D43BF"/>
    <w:rsid w:val="008E05DD"/>
    <w:rsid w:val="008E23A7"/>
    <w:rsid w:val="00900871"/>
    <w:rsid w:val="0090206B"/>
    <w:rsid w:val="0090230A"/>
    <w:rsid w:val="00906C0C"/>
    <w:rsid w:val="00911D57"/>
    <w:rsid w:val="009165E8"/>
    <w:rsid w:val="009171D5"/>
    <w:rsid w:val="00921194"/>
    <w:rsid w:val="00923FE7"/>
    <w:rsid w:val="009323BF"/>
    <w:rsid w:val="00934925"/>
    <w:rsid w:val="00937023"/>
    <w:rsid w:val="00940FA1"/>
    <w:rsid w:val="00945AD6"/>
    <w:rsid w:val="00953DF4"/>
    <w:rsid w:val="00956671"/>
    <w:rsid w:val="00971818"/>
    <w:rsid w:val="00973B3D"/>
    <w:rsid w:val="00981BD9"/>
    <w:rsid w:val="00986D14"/>
    <w:rsid w:val="009B7251"/>
    <w:rsid w:val="009B7755"/>
    <w:rsid w:val="009C3D8D"/>
    <w:rsid w:val="009D1044"/>
    <w:rsid w:val="009D29B3"/>
    <w:rsid w:val="009D7A55"/>
    <w:rsid w:val="009E5150"/>
    <w:rsid w:val="009F47D1"/>
    <w:rsid w:val="009F68F6"/>
    <w:rsid w:val="009F69B6"/>
    <w:rsid w:val="009F7CE7"/>
    <w:rsid w:val="00A12039"/>
    <w:rsid w:val="00A212B4"/>
    <w:rsid w:val="00A22549"/>
    <w:rsid w:val="00A24242"/>
    <w:rsid w:val="00A41EDA"/>
    <w:rsid w:val="00A443E5"/>
    <w:rsid w:val="00A44AB4"/>
    <w:rsid w:val="00A44D32"/>
    <w:rsid w:val="00A45BDC"/>
    <w:rsid w:val="00A53639"/>
    <w:rsid w:val="00A53FA2"/>
    <w:rsid w:val="00A6108C"/>
    <w:rsid w:val="00A61ACF"/>
    <w:rsid w:val="00A74646"/>
    <w:rsid w:val="00A75798"/>
    <w:rsid w:val="00A82854"/>
    <w:rsid w:val="00A87237"/>
    <w:rsid w:val="00A9508A"/>
    <w:rsid w:val="00AB0850"/>
    <w:rsid w:val="00AB1C81"/>
    <w:rsid w:val="00AB1E61"/>
    <w:rsid w:val="00AC2F4A"/>
    <w:rsid w:val="00AC547A"/>
    <w:rsid w:val="00AD03D8"/>
    <w:rsid w:val="00AD4509"/>
    <w:rsid w:val="00AE0F61"/>
    <w:rsid w:val="00AE181F"/>
    <w:rsid w:val="00AE3CD9"/>
    <w:rsid w:val="00AF4F63"/>
    <w:rsid w:val="00AF685F"/>
    <w:rsid w:val="00B0578F"/>
    <w:rsid w:val="00B25BD9"/>
    <w:rsid w:val="00B271D3"/>
    <w:rsid w:val="00B36470"/>
    <w:rsid w:val="00B434BA"/>
    <w:rsid w:val="00B46A22"/>
    <w:rsid w:val="00B55946"/>
    <w:rsid w:val="00B63DD8"/>
    <w:rsid w:val="00B80FB0"/>
    <w:rsid w:val="00B830BE"/>
    <w:rsid w:val="00B85A9C"/>
    <w:rsid w:val="00B97BD7"/>
    <w:rsid w:val="00BB1BB2"/>
    <w:rsid w:val="00BB3E3C"/>
    <w:rsid w:val="00BB767E"/>
    <w:rsid w:val="00BD6875"/>
    <w:rsid w:val="00BF1A38"/>
    <w:rsid w:val="00BF2235"/>
    <w:rsid w:val="00BF552B"/>
    <w:rsid w:val="00BF688A"/>
    <w:rsid w:val="00BF72DE"/>
    <w:rsid w:val="00C01664"/>
    <w:rsid w:val="00C0587E"/>
    <w:rsid w:val="00C17CD0"/>
    <w:rsid w:val="00C22BD0"/>
    <w:rsid w:val="00C30CB8"/>
    <w:rsid w:val="00C33DD2"/>
    <w:rsid w:val="00C3423B"/>
    <w:rsid w:val="00C345C0"/>
    <w:rsid w:val="00C34E8A"/>
    <w:rsid w:val="00C432C2"/>
    <w:rsid w:val="00C50718"/>
    <w:rsid w:val="00C6330F"/>
    <w:rsid w:val="00C64E84"/>
    <w:rsid w:val="00C65062"/>
    <w:rsid w:val="00C71A05"/>
    <w:rsid w:val="00C74983"/>
    <w:rsid w:val="00C86773"/>
    <w:rsid w:val="00C86D56"/>
    <w:rsid w:val="00C924F1"/>
    <w:rsid w:val="00C95690"/>
    <w:rsid w:val="00CA173B"/>
    <w:rsid w:val="00CA714E"/>
    <w:rsid w:val="00CB420E"/>
    <w:rsid w:val="00CC24BE"/>
    <w:rsid w:val="00CD270A"/>
    <w:rsid w:val="00CD4D39"/>
    <w:rsid w:val="00CE325F"/>
    <w:rsid w:val="00CE4FE1"/>
    <w:rsid w:val="00CE5EB3"/>
    <w:rsid w:val="00CF67DD"/>
    <w:rsid w:val="00D06995"/>
    <w:rsid w:val="00D14DBF"/>
    <w:rsid w:val="00D2188B"/>
    <w:rsid w:val="00D23127"/>
    <w:rsid w:val="00D244E6"/>
    <w:rsid w:val="00D26CDA"/>
    <w:rsid w:val="00D32982"/>
    <w:rsid w:val="00D476F3"/>
    <w:rsid w:val="00D50EBD"/>
    <w:rsid w:val="00D522D2"/>
    <w:rsid w:val="00D62E7D"/>
    <w:rsid w:val="00D83ED5"/>
    <w:rsid w:val="00D85596"/>
    <w:rsid w:val="00D87A7D"/>
    <w:rsid w:val="00D906D3"/>
    <w:rsid w:val="00D94C5B"/>
    <w:rsid w:val="00D972A8"/>
    <w:rsid w:val="00DA7756"/>
    <w:rsid w:val="00DB65D5"/>
    <w:rsid w:val="00DC0BDA"/>
    <w:rsid w:val="00DF4484"/>
    <w:rsid w:val="00DF6C48"/>
    <w:rsid w:val="00E106C6"/>
    <w:rsid w:val="00E14953"/>
    <w:rsid w:val="00E15375"/>
    <w:rsid w:val="00E21830"/>
    <w:rsid w:val="00E30EF9"/>
    <w:rsid w:val="00E34507"/>
    <w:rsid w:val="00E37F7C"/>
    <w:rsid w:val="00E43F17"/>
    <w:rsid w:val="00E45016"/>
    <w:rsid w:val="00E47BA6"/>
    <w:rsid w:val="00E62A7D"/>
    <w:rsid w:val="00E64794"/>
    <w:rsid w:val="00E6550C"/>
    <w:rsid w:val="00E738EA"/>
    <w:rsid w:val="00E833EF"/>
    <w:rsid w:val="00E84585"/>
    <w:rsid w:val="00E85A32"/>
    <w:rsid w:val="00EA117F"/>
    <w:rsid w:val="00EB0D9D"/>
    <w:rsid w:val="00EB30F2"/>
    <w:rsid w:val="00EB7A1A"/>
    <w:rsid w:val="00EC1D52"/>
    <w:rsid w:val="00ED002D"/>
    <w:rsid w:val="00ED2406"/>
    <w:rsid w:val="00ED7FC5"/>
    <w:rsid w:val="00EE163E"/>
    <w:rsid w:val="00F07EAD"/>
    <w:rsid w:val="00F115D3"/>
    <w:rsid w:val="00F11B0D"/>
    <w:rsid w:val="00F20C41"/>
    <w:rsid w:val="00F26406"/>
    <w:rsid w:val="00F3302B"/>
    <w:rsid w:val="00F36029"/>
    <w:rsid w:val="00F56774"/>
    <w:rsid w:val="00F60FD4"/>
    <w:rsid w:val="00F63099"/>
    <w:rsid w:val="00F67457"/>
    <w:rsid w:val="00F763A6"/>
    <w:rsid w:val="00F815C9"/>
    <w:rsid w:val="00F86E34"/>
    <w:rsid w:val="00FA2042"/>
    <w:rsid w:val="00FB081F"/>
    <w:rsid w:val="00FD6257"/>
    <w:rsid w:val="00FE40BC"/>
    <w:rsid w:val="00FF249A"/>
    <w:rsid w:val="00FF36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A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925"/>
    <w:pPr>
      <w:spacing w:after="0" w:line="240" w:lineRule="auto"/>
      <w:ind w:left="720"/>
    </w:pPr>
    <w:rPr>
      <w:rFonts w:ascii="Calibri" w:hAnsi="Calibri" w:cs="Times New Roman"/>
      <w:lang w:eastAsia="en-GB"/>
    </w:rPr>
  </w:style>
  <w:style w:type="paragraph" w:styleId="FootnoteText">
    <w:name w:val="footnote text"/>
    <w:basedOn w:val="Normal"/>
    <w:link w:val="FootnoteTextChar"/>
    <w:uiPriority w:val="99"/>
    <w:unhideWhenUsed/>
    <w:rsid w:val="007A6CDE"/>
    <w:pPr>
      <w:spacing w:after="0" w:line="240" w:lineRule="auto"/>
    </w:pPr>
    <w:rPr>
      <w:sz w:val="20"/>
      <w:szCs w:val="20"/>
    </w:rPr>
  </w:style>
  <w:style w:type="character" w:customStyle="1" w:styleId="FootnoteTextChar">
    <w:name w:val="Footnote Text Char"/>
    <w:basedOn w:val="DefaultParagraphFont"/>
    <w:link w:val="FootnoteText"/>
    <w:uiPriority w:val="99"/>
    <w:rsid w:val="007A6CDE"/>
    <w:rPr>
      <w:sz w:val="20"/>
      <w:szCs w:val="20"/>
    </w:rPr>
  </w:style>
  <w:style w:type="character" w:styleId="FootnoteReference">
    <w:name w:val="footnote reference"/>
    <w:basedOn w:val="DefaultParagraphFont"/>
    <w:uiPriority w:val="99"/>
    <w:semiHidden/>
    <w:unhideWhenUsed/>
    <w:rsid w:val="007A6CDE"/>
    <w:rPr>
      <w:vertAlign w:val="superscript"/>
    </w:rPr>
  </w:style>
  <w:style w:type="character" w:styleId="Hyperlink">
    <w:name w:val="Hyperlink"/>
    <w:basedOn w:val="DefaultParagraphFont"/>
    <w:uiPriority w:val="99"/>
    <w:unhideWhenUsed/>
    <w:rsid w:val="00522416"/>
    <w:rPr>
      <w:color w:val="0000FF" w:themeColor="hyperlink"/>
      <w:u w:val="single"/>
    </w:rPr>
  </w:style>
  <w:style w:type="character" w:styleId="CommentReference">
    <w:name w:val="annotation reference"/>
    <w:basedOn w:val="DefaultParagraphFont"/>
    <w:uiPriority w:val="99"/>
    <w:semiHidden/>
    <w:unhideWhenUsed/>
    <w:rsid w:val="00781BFE"/>
    <w:rPr>
      <w:sz w:val="16"/>
      <w:szCs w:val="16"/>
    </w:rPr>
  </w:style>
  <w:style w:type="paragraph" w:styleId="CommentText">
    <w:name w:val="annotation text"/>
    <w:basedOn w:val="Normal"/>
    <w:link w:val="CommentTextChar"/>
    <w:uiPriority w:val="99"/>
    <w:semiHidden/>
    <w:unhideWhenUsed/>
    <w:rsid w:val="00781BFE"/>
    <w:pPr>
      <w:spacing w:line="240" w:lineRule="auto"/>
    </w:pPr>
    <w:rPr>
      <w:sz w:val="20"/>
      <w:szCs w:val="20"/>
    </w:rPr>
  </w:style>
  <w:style w:type="character" w:customStyle="1" w:styleId="CommentTextChar">
    <w:name w:val="Comment Text Char"/>
    <w:basedOn w:val="DefaultParagraphFont"/>
    <w:link w:val="CommentText"/>
    <w:uiPriority w:val="99"/>
    <w:semiHidden/>
    <w:rsid w:val="00781BFE"/>
    <w:rPr>
      <w:sz w:val="20"/>
      <w:szCs w:val="20"/>
    </w:rPr>
  </w:style>
  <w:style w:type="paragraph" w:styleId="CommentSubject">
    <w:name w:val="annotation subject"/>
    <w:basedOn w:val="CommentText"/>
    <w:next w:val="CommentText"/>
    <w:link w:val="CommentSubjectChar"/>
    <w:uiPriority w:val="99"/>
    <w:semiHidden/>
    <w:unhideWhenUsed/>
    <w:rsid w:val="00781BFE"/>
    <w:rPr>
      <w:b/>
      <w:bCs/>
    </w:rPr>
  </w:style>
  <w:style w:type="character" w:customStyle="1" w:styleId="CommentSubjectChar">
    <w:name w:val="Comment Subject Char"/>
    <w:basedOn w:val="CommentTextChar"/>
    <w:link w:val="CommentSubject"/>
    <w:uiPriority w:val="99"/>
    <w:semiHidden/>
    <w:rsid w:val="00781BFE"/>
    <w:rPr>
      <w:b/>
      <w:bCs/>
      <w:sz w:val="20"/>
      <w:szCs w:val="20"/>
    </w:rPr>
  </w:style>
  <w:style w:type="paragraph" w:styleId="BalloonText">
    <w:name w:val="Balloon Text"/>
    <w:basedOn w:val="Normal"/>
    <w:link w:val="BalloonTextChar"/>
    <w:uiPriority w:val="99"/>
    <w:semiHidden/>
    <w:unhideWhenUsed/>
    <w:rsid w:val="00781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BFE"/>
    <w:rPr>
      <w:rFonts w:ascii="Tahoma" w:hAnsi="Tahoma" w:cs="Tahoma"/>
      <w:sz w:val="16"/>
      <w:szCs w:val="16"/>
    </w:rPr>
  </w:style>
  <w:style w:type="paragraph" w:styleId="NormalWeb">
    <w:name w:val="Normal (Web)"/>
    <w:basedOn w:val="Normal"/>
    <w:uiPriority w:val="99"/>
    <w:semiHidden/>
    <w:unhideWhenUsed/>
    <w:rsid w:val="006B38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unhideWhenUsed/>
    <w:rsid w:val="00215D41"/>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215D41"/>
    <w:rPr>
      <w:sz w:val="20"/>
      <w:szCs w:val="20"/>
      <w:lang w:val="en-US"/>
    </w:rPr>
  </w:style>
  <w:style w:type="character" w:styleId="EndnoteReference">
    <w:name w:val="endnote reference"/>
    <w:basedOn w:val="DefaultParagraphFont"/>
    <w:uiPriority w:val="99"/>
    <w:unhideWhenUsed/>
    <w:rsid w:val="00215D41"/>
    <w:rPr>
      <w:vertAlign w:val="superscript"/>
    </w:rPr>
  </w:style>
  <w:style w:type="paragraph" w:styleId="Header">
    <w:name w:val="header"/>
    <w:basedOn w:val="Normal"/>
    <w:link w:val="HeaderChar"/>
    <w:uiPriority w:val="99"/>
    <w:unhideWhenUsed/>
    <w:rsid w:val="0065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8C8"/>
  </w:style>
  <w:style w:type="paragraph" w:styleId="Footer">
    <w:name w:val="footer"/>
    <w:basedOn w:val="Normal"/>
    <w:link w:val="FooterChar"/>
    <w:uiPriority w:val="99"/>
    <w:unhideWhenUsed/>
    <w:rsid w:val="0065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8C8"/>
  </w:style>
  <w:style w:type="character" w:customStyle="1" w:styleId="apple-converted-space">
    <w:name w:val="apple-converted-space"/>
    <w:basedOn w:val="DefaultParagraphFont"/>
    <w:rsid w:val="00F60FD4"/>
  </w:style>
  <w:style w:type="character" w:customStyle="1" w:styleId="st1">
    <w:name w:val="st1"/>
    <w:basedOn w:val="DefaultParagraphFont"/>
    <w:rsid w:val="00E47BA6"/>
  </w:style>
  <w:style w:type="character" w:customStyle="1" w:styleId="Heading1Char">
    <w:name w:val="Heading 1 Char"/>
    <w:basedOn w:val="DefaultParagraphFont"/>
    <w:link w:val="Heading1"/>
    <w:uiPriority w:val="9"/>
    <w:rsid w:val="009D7A55"/>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D7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7A55"/>
    <w:rPr>
      <w:rFonts w:asciiTheme="majorHAnsi" w:eastAsiaTheme="majorEastAsia" w:hAnsiTheme="majorHAnsi" w:cstheme="majorBidi"/>
      <w:spacing w:val="-10"/>
      <w:kern w:val="28"/>
      <w:sz w:val="56"/>
      <w:szCs w:val="56"/>
    </w:rPr>
  </w:style>
  <w:style w:type="paragraph" w:styleId="NoSpacing">
    <w:name w:val="No Spacing"/>
    <w:uiPriority w:val="1"/>
    <w:qFormat/>
    <w:rsid w:val="00A12039"/>
    <w:pPr>
      <w:spacing w:after="0" w:line="240" w:lineRule="auto"/>
    </w:pPr>
  </w:style>
  <w:style w:type="table" w:customStyle="1" w:styleId="TableGrid2">
    <w:name w:val="Table Grid2"/>
    <w:basedOn w:val="TableNormal"/>
    <w:next w:val="TableGrid"/>
    <w:uiPriority w:val="59"/>
    <w:rsid w:val="008B0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B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B0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0677"/>
    <w:rPr>
      <w:color w:val="800080" w:themeColor="followedHyperlink"/>
      <w:u w:val="single"/>
    </w:rPr>
  </w:style>
  <w:style w:type="paragraph" w:styleId="Revision">
    <w:name w:val="Revision"/>
    <w:hidden/>
    <w:uiPriority w:val="99"/>
    <w:semiHidden/>
    <w:rsid w:val="00BF7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2353">
      <w:bodyDiv w:val="1"/>
      <w:marLeft w:val="0"/>
      <w:marRight w:val="0"/>
      <w:marTop w:val="0"/>
      <w:marBottom w:val="0"/>
      <w:divBdr>
        <w:top w:val="none" w:sz="0" w:space="0" w:color="auto"/>
        <w:left w:val="none" w:sz="0" w:space="0" w:color="auto"/>
        <w:bottom w:val="none" w:sz="0" w:space="0" w:color="auto"/>
        <w:right w:val="none" w:sz="0" w:space="0" w:color="auto"/>
      </w:divBdr>
    </w:div>
    <w:div w:id="64575062">
      <w:bodyDiv w:val="1"/>
      <w:marLeft w:val="0"/>
      <w:marRight w:val="0"/>
      <w:marTop w:val="0"/>
      <w:marBottom w:val="0"/>
      <w:divBdr>
        <w:top w:val="none" w:sz="0" w:space="0" w:color="auto"/>
        <w:left w:val="none" w:sz="0" w:space="0" w:color="auto"/>
        <w:bottom w:val="none" w:sz="0" w:space="0" w:color="auto"/>
        <w:right w:val="none" w:sz="0" w:space="0" w:color="auto"/>
      </w:divBdr>
    </w:div>
    <w:div w:id="275715340">
      <w:bodyDiv w:val="1"/>
      <w:marLeft w:val="0"/>
      <w:marRight w:val="0"/>
      <w:marTop w:val="0"/>
      <w:marBottom w:val="0"/>
      <w:divBdr>
        <w:top w:val="none" w:sz="0" w:space="0" w:color="auto"/>
        <w:left w:val="none" w:sz="0" w:space="0" w:color="auto"/>
        <w:bottom w:val="none" w:sz="0" w:space="0" w:color="auto"/>
        <w:right w:val="none" w:sz="0" w:space="0" w:color="auto"/>
      </w:divBdr>
    </w:div>
    <w:div w:id="277100978">
      <w:bodyDiv w:val="1"/>
      <w:marLeft w:val="0"/>
      <w:marRight w:val="0"/>
      <w:marTop w:val="0"/>
      <w:marBottom w:val="0"/>
      <w:divBdr>
        <w:top w:val="none" w:sz="0" w:space="0" w:color="auto"/>
        <w:left w:val="none" w:sz="0" w:space="0" w:color="auto"/>
        <w:bottom w:val="none" w:sz="0" w:space="0" w:color="auto"/>
        <w:right w:val="none" w:sz="0" w:space="0" w:color="auto"/>
      </w:divBdr>
    </w:div>
    <w:div w:id="465852138">
      <w:bodyDiv w:val="1"/>
      <w:marLeft w:val="0"/>
      <w:marRight w:val="0"/>
      <w:marTop w:val="0"/>
      <w:marBottom w:val="0"/>
      <w:divBdr>
        <w:top w:val="none" w:sz="0" w:space="0" w:color="auto"/>
        <w:left w:val="none" w:sz="0" w:space="0" w:color="auto"/>
        <w:bottom w:val="none" w:sz="0" w:space="0" w:color="auto"/>
        <w:right w:val="none" w:sz="0" w:space="0" w:color="auto"/>
      </w:divBdr>
      <w:divsChild>
        <w:div w:id="701326633">
          <w:marLeft w:val="0"/>
          <w:marRight w:val="0"/>
          <w:marTop w:val="0"/>
          <w:marBottom w:val="0"/>
          <w:divBdr>
            <w:top w:val="none" w:sz="0" w:space="0" w:color="auto"/>
            <w:left w:val="none" w:sz="0" w:space="0" w:color="auto"/>
            <w:bottom w:val="none" w:sz="0" w:space="0" w:color="auto"/>
            <w:right w:val="none" w:sz="0" w:space="0" w:color="auto"/>
          </w:divBdr>
        </w:div>
        <w:div w:id="1819956159">
          <w:marLeft w:val="0"/>
          <w:marRight w:val="0"/>
          <w:marTop w:val="0"/>
          <w:marBottom w:val="0"/>
          <w:divBdr>
            <w:top w:val="none" w:sz="0" w:space="0" w:color="auto"/>
            <w:left w:val="none" w:sz="0" w:space="0" w:color="auto"/>
            <w:bottom w:val="none" w:sz="0" w:space="0" w:color="auto"/>
            <w:right w:val="none" w:sz="0" w:space="0" w:color="auto"/>
          </w:divBdr>
        </w:div>
        <w:div w:id="1583292005">
          <w:marLeft w:val="0"/>
          <w:marRight w:val="0"/>
          <w:marTop w:val="0"/>
          <w:marBottom w:val="0"/>
          <w:divBdr>
            <w:top w:val="none" w:sz="0" w:space="0" w:color="auto"/>
            <w:left w:val="none" w:sz="0" w:space="0" w:color="auto"/>
            <w:bottom w:val="none" w:sz="0" w:space="0" w:color="auto"/>
            <w:right w:val="none" w:sz="0" w:space="0" w:color="auto"/>
          </w:divBdr>
        </w:div>
      </w:divsChild>
    </w:div>
    <w:div w:id="797261295">
      <w:bodyDiv w:val="1"/>
      <w:marLeft w:val="0"/>
      <w:marRight w:val="0"/>
      <w:marTop w:val="0"/>
      <w:marBottom w:val="0"/>
      <w:divBdr>
        <w:top w:val="none" w:sz="0" w:space="0" w:color="auto"/>
        <w:left w:val="none" w:sz="0" w:space="0" w:color="auto"/>
        <w:bottom w:val="none" w:sz="0" w:space="0" w:color="auto"/>
        <w:right w:val="none" w:sz="0" w:space="0" w:color="auto"/>
      </w:divBdr>
    </w:div>
    <w:div w:id="927739163">
      <w:bodyDiv w:val="1"/>
      <w:marLeft w:val="0"/>
      <w:marRight w:val="0"/>
      <w:marTop w:val="0"/>
      <w:marBottom w:val="0"/>
      <w:divBdr>
        <w:top w:val="none" w:sz="0" w:space="0" w:color="auto"/>
        <w:left w:val="none" w:sz="0" w:space="0" w:color="auto"/>
        <w:bottom w:val="none" w:sz="0" w:space="0" w:color="auto"/>
        <w:right w:val="none" w:sz="0" w:space="0" w:color="auto"/>
      </w:divBdr>
      <w:divsChild>
        <w:div w:id="1131632378">
          <w:marLeft w:val="1008"/>
          <w:marRight w:val="0"/>
          <w:marTop w:val="0"/>
          <w:marBottom w:val="0"/>
          <w:divBdr>
            <w:top w:val="none" w:sz="0" w:space="0" w:color="auto"/>
            <w:left w:val="none" w:sz="0" w:space="0" w:color="auto"/>
            <w:bottom w:val="none" w:sz="0" w:space="0" w:color="auto"/>
            <w:right w:val="none" w:sz="0" w:space="0" w:color="auto"/>
          </w:divBdr>
        </w:div>
        <w:div w:id="1925533022">
          <w:marLeft w:val="1008"/>
          <w:marRight w:val="0"/>
          <w:marTop w:val="0"/>
          <w:marBottom w:val="0"/>
          <w:divBdr>
            <w:top w:val="none" w:sz="0" w:space="0" w:color="auto"/>
            <w:left w:val="none" w:sz="0" w:space="0" w:color="auto"/>
            <w:bottom w:val="none" w:sz="0" w:space="0" w:color="auto"/>
            <w:right w:val="none" w:sz="0" w:space="0" w:color="auto"/>
          </w:divBdr>
        </w:div>
      </w:divsChild>
    </w:div>
    <w:div w:id="977564132">
      <w:bodyDiv w:val="1"/>
      <w:marLeft w:val="0"/>
      <w:marRight w:val="0"/>
      <w:marTop w:val="0"/>
      <w:marBottom w:val="0"/>
      <w:divBdr>
        <w:top w:val="none" w:sz="0" w:space="0" w:color="auto"/>
        <w:left w:val="none" w:sz="0" w:space="0" w:color="auto"/>
        <w:bottom w:val="none" w:sz="0" w:space="0" w:color="auto"/>
        <w:right w:val="none" w:sz="0" w:space="0" w:color="auto"/>
      </w:divBdr>
    </w:div>
    <w:div w:id="992759877">
      <w:bodyDiv w:val="1"/>
      <w:marLeft w:val="0"/>
      <w:marRight w:val="0"/>
      <w:marTop w:val="0"/>
      <w:marBottom w:val="0"/>
      <w:divBdr>
        <w:top w:val="none" w:sz="0" w:space="0" w:color="auto"/>
        <w:left w:val="none" w:sz="0" w:space="0" w:color="auto"/>
        <w:bottom w:val="none" w:sz="0" w:space="0" w:color="auto"/>
        <w:right w:val="none" w:sz="0" w:space="0" w:color="auto"/>
      </w:divBdr>
    </w:div>
    <w:div w:id="1040783038">
      <w:bodyDiv w:val="1"/>
      <w:marLeft w:val="0"/>
      <w:marRight w:val="0"/>
      <w:marTop w:val="0"/>
      <w:marBottom w:val="0"/>
      <w:divBdr>
        <w:top w:val="none" w:sz="0" w:space="0" w:color="auto"/>
        <w:left w:val="none" w:sz="0" w:space="0" w:color="auto"/>
        <w:bottom w:val="none" w:sz="0" w:space="0" w:color="auto"/>
        <w:right w:val="none" w:sz="0" w:space="0" w:color="auto"/>
      </w:divBdr>
      <w:divsChild>
        <w:div w:id="1472359937">
          <w:marLeft w:val="547"/>
          <w:marRight w:val="0"/>
          <w:marTop w:val="0"/>
          <w:marBottom w:val="0"/>
          <w:divBdr>
            <w:top w:val="none" w:sz="0" w:space="0" w:color="auto"/>
            <w:left w:val="none" w:sz="0" w:space="0" w:color="auto"/>
            <w:bottom w:val="none" w:sz="0" w:space="0" w:color="auto"/>
            <w:right w:val="none" w:sz="0" w:space="0" w:color="auto"/>
          </w:divBdr>
        </w:div>
      </w:divsChild>
    </w:div>
    <w:div w:id="1309241781">
      <w:bodyDiv w:val="1"/>
      <w:marLeft w:val="0"/>
      <w:marRight w:val="0"/>
      <w:marTop w:val="0"/>
      <w:marBottom w:val="0"/>
      <w:divBdr>
        <w:top w:val="none" w:sz="0" w:space="0" w:color="auto"/>
        <w:left w:val="none" w:sz="0" w:space="0" w:color="auto"/>
        <w:bottom w:val="none" w:sz="0" w:space="0" w:color="auto"/>
        <w:right w:val="none" w:sz="0" w:space="0" w:color="auto"/>
      </w:divBdr>
      <w:divsChild>
        <w:div w:id="1162307349">
          <w:marLeft w:val="1282"/>
          <w:marRight w:val="0"/>
          <w:marTop w:val="0"/>
          <w:marBottom w:val="0"/>
          <w:divBdr>
            <w:top w:val="none" w:sz="0" w:space="0" w:color="auto"/>
            <w:left w:val="none" w:sz="0" w:space="0" w:color="auto"/>
            <w:bottom w:val="none" w:sz="0" w:space="0" w:color="auto"/>
            <w:right w:val="none" w:sz="0" w:space="0" w:color="auto"/>
          </w:divBdr>
        </w:div>
        <w:div w:id="934023397">
          <w:marLeft w:val="1282"/>
          <w:marRight w:val="0"/>
          <w:marTop w:val="0"/>
          <w:marBottom w:val="0"/>
          <w:divBdr>
            <w:top w:val="none" w:sz="0" w:space="0" w:color="auto"/>
            <w:left w:val="none" w:sz="0" w:space="0" w:color="auto"/>
            <w:bottom w:val="none" w:sz="0" w:space="0" w:color="auto"/>
            <w:right w:val="none" w:sz="0" w:space="0" w:color="auto"/>
          </w:divBdr>
        </w:div>
        <w:div w:id="274479588">
          <w:marLeft w:val="1282"/>
          <w:marRight w:val="0"/>
          <w:marTop w:val="0"/>
          <w:marBottom w:val="0"/>
          <w:divBdr>
            <w:top w:val="none" w:sz="0" w:space="0" w:color="auto"/>
            <w:left w:val="none" w:sz="0" w:space="0" w:color="auto"/>
            <w:bottom w:val="none" w:sz="0" w:space="0" w:color="auto"/>
            <w:right w:val="none" w:sz="0" w:space="0" w:color="auto"/>
          </w:divBdr>
        </w:div>
        <w:div w:id="889270093">
          <w:marLeft w:val="1282"/>
          <w:marRight w:val="0"/>
          <w:marTop w:val="0"/>
          <w:marBottom w:val="0"/>
          <w:divBdr>
            <w:top w:val="none" w:sz="0" w:space="0" w:color="auto"/>
            <w:left w:val="none" w:sz="0" w:space="0" w:color="auto"/>
            <w:bottom w:val="none" w:sz="0" w:space="0" w:color="auto"/>
            <w:right w:val="none" w:sz="0" w:space="0" w:color="auto"/>
          </w:divBdr>
        </w:div>
        <w:div w:id="731466769">
          <w:marLeft w:val="1282"/>
          <w:marRight w:val="0"/>
          <w:marTop w:val="0"/>
          <w:marBottom w:val="0"/>
          <w:divBdr>
            <w:top w:val="none" w:sz="0" w:space="0" w:color="auto"/>
            <w:left w:val="none" w:sz="0" w:space="0" w:color="auto"/>
            <w:bottom w:val="none" w:sz="0" w:space="0" w:color="auto"/>
            <w:right w:val="none" w:sz="0" w:space="0" w:color="auto"/>
          </w:divBdr>
        </w:div>
        <w:div w:id="1648975180">
          <w:marLeft w:val="1282"/>
          <w:marRight w:val="0"/>
          <w:marTop w:val="0"/>
          <w:marBottom w:val="0"/>
          <w:divBdr>
            <w:top w:val="none" w:sz="0" w:space="0" w:color="auto"/>
            <w:left w:val="none" w:sz="0" w:space="0" w:color="auto"/>
            <w:bottom w:val="none" w:sz="0" w:space="0" w:color="auto"/>
            <w:right w:val="none" w:sz="0" w:space="0" w:color="auto"/>
          </w:divBdr>
        </w:div>
      </w:divsChild>
    </w:div>
    <w:div w:id="1363365079">
      <w:bodyDiv w:val="1"/>
      <w:marLeft w:val="0"/>
      <w:marRight w:val="0"/>
      <w:marTop w:val="0"/>
      <w:marBottom w:val="0"/>
      <w:divBdr>
        <w:top w:val="none" w:sz="0" w:space="0" w:color="auto"/>
        <w:left w:val="none" w:sz="0" w:space="0" w:color="auto"/>
        <w:bottom w:val="none" w:sz="0" w:space="0" w:color="auto"/>
        <w:right w:val="none" w:sz="0" w:space="0" w:color="auto"/>
      </w:divBdr>
    </w:div>
    <w:div w:id="1500539000">
      <w:bodyDiv w:val="1"/>
      <w:marLeft w:val="0"/>
      <w:marRight w:val="0"/>
      <w:marTop w:val="0"/>
      <w:marBottom w:val="0"/>
      <w:divBdr>
        <w:top w:val="none" w:sz="0" w:space="0" w:color="auto"/>
        <w:left w:val="none" w:sz="0" w:space="0" w:color="auto"/>
        <w:bottom w:val="none" w:sz="0" w:space="0" w:color="auto"/>
        <w:right w:val="none" w:sz="0" w:space="0" w:color="auto"/>
      </w:divBdr>
      <w:divsChild>
        <w:div w:id="1744909568">
          <w:marLeft w:val="720"/>
          <w:marRight w:val="0"/>
          <w:marTop w:val="0"/>
          <w:marBottom w:val="0"/>
          <w:divBdr>
            <w:top w:val="none" w:sz="0" w:space="0" w:color="auto"/>
            <w:left w:val="none" w:sz="0" w:space="0" w:color="auto"/>
            <w:bottom w:val="none" w:sz="0" w:space="0" w:color="auto"/>
            <w:right w:val="none" w:sz="0" w:space="0" w:color="auto"/>
          </w:divBdr>
        </w:div>
        <w:div w:id="1662269549">
          <w:marLeft w:val="720"/>
          <w:marRight w:val="0"/>
          <w:marTop w:val="0"/>
          <w:marBottom w:val="0"/>
          <w:divBdr>
            <w:top w:val="none" w:sz="0" w:space="0" w:color="auto"/>
            <w:left w:val="none" w:sz="0" w:space="0" w:color="auto"/>
            <w:bottom w:val="none" w:sz="0" w:space="0" w:color="auto"/>
            <w:right w:val="none" w:sz="0" w:space="0" w:color="auto"/>
          </w:divBdr>
        </w:div>
        <w:div w:id="132872890">
          <w:marLeft w:val="720"/>
          <w:marRight w:val="0"/>
          <w:marTop w:val="0"/>
          <w:marBottom w:val="0"/>
          <w:divBdr>
            <w:top w:val="none" w:sz="0" w:space="0" w:color="auto"/>
            <w:left w:val="none" w:sz="0" w:space="0" w:color="auto"/>
            <w:bottom w:val="none" w:sz="0" w:space="0" w:color="auto"/>
            <w:right w:val="none" w:sz="0" w:space="0" w:color="auto"/>
          </w:divBdr>
        </w:div>
      </w:divsChild>
    </w:div>
    <w:div w:id="1625578911">
      <w:bodyDiv w:val="1"/>
      <w:marLeft w:val="0"/>
      <w:marRight w:val="0"/>
      <w:marTop w:val="0"/>
      <w:marBottom w:val="0"/>
      <w:divBdr>
        <w:top w:val="none" w:sz="0" w:space="0" w:color="auto"/>
        <w:left w:val="none" w:sz="0" w:space="0" w:color="auto"/>
        <w:bottom w:val="none" w:sz="0" w:space="0" w:color="auto"/>
        <w:right w:val="none" w:sz="0" w:space="0" w:color="auto"/>
      </w:divBdr>
    </w:div>
    <w:div w:id="2102675370">
      <w:bodyDiv w:val="1"/>
      <w:marLeft w:val="0"/>
      <w:marRight w:val="0"/>
      <w:marTop w:val="0"/>
      <w:marBottom w:val="0"/>
      <w:divBdr>
        <w:top w:val="none" w:sz="0" w:space="0" w:color="auto"/>
        <w:left w:val="none" w:sz="0" w:space="0" w:color="auto"/>
        <w:bottom w:val="none" w:sz="0" w:space="0" w:color="auto"/>
        <w:right w:val="none" w:sz="0" w:space="0" w:color="auto"/>
      </w:divBdr>
    </w:div>
    <w:div w:id="2146853584">
      <w:bodyDiv w:val="1"/>
      <w:marLeft w:val="0"/>
      <w:marRight w:val="0"/>
      <w:marTop w:val="0"/>
      <w:marBottom w:val="0"/>
      <w:divBdr>
        <w:top w:val="none" w:sz="0" w:space="0" w:color="auto"/>
        <w:left w:val="none" w:sz="0" w:space="0" w:color="auto"/>
        <w:bottom w:val="none" w:sz="0" w:space="0" w:color="auto"/>
        <w:right w:val="none" w:sz="0" w:space="0" w:color="auto"/>
      </w:divBdr>
      <w:divsChild>
        <w:div w:id="1927693326">
          <w:marLeft w:val="274"/>
          <w:marRight w:val="0"/>
          <w:marTop w:val="0"/>
          <w:marBottom w:val="0"/>
          <w:divBdr>
            <w:top w:val="none" w:sz="0" w:space="0" w:color="auto"/>
            <w:left w:val="none" w:sz="0" w:space="0" w:color="auto"/>
            <w:bottom w:val="none" w:sz="0" w:space="0" w:color="auto"/>
            <w:right w:val="none" w:sz="0" w:space="0" w:color="auto"/>
          </w:divBdr>
        </w:div>
        <w:div w:id="334455898">
          <w:marLeft w:val="274"/>
          <w:marRight w:val="0"/>
          <w:marTop w:val="0"/>
          <w:marBottom w:val="0"/>
          <w:divBdr>
            <w:top w:val="none" w:sz="0" w:space="0" w:color="auto"/>
            <w:left w:val="none" w:sz="0" w:space="0" w:color="auto"/>
            <w:bottom w:val="none" w:sz="0" w:space="0" w:color="auto"/>
            <w:right w:val="none" w:sz="0" w:space="0" w:color="auto"/>
          </w:divBdr>
        </w:div>
        <w:div w:id="1543518662">
          <w:marLeft w:val="274"/>
          <w:marRight w:val="0"/>
          <w:marTop w:val="0"/>
          <w:marBottom w:val="0"/>
          <w:divBdr>
            <w:top w:val="none" w:sz="0" w:space="0" w:color="auto"/>
            <w:left w:val="none" w:sz="0" w:space="0" w:color="auto"/>
            <w:bottom w:val="none" w:sz="0" w:space="0" w:color="auto"/>
            <w:right w:val="none" w:sz="0" w:space="0" w:color="auto"/>
          </w:divBdr>
        </w:div>
        <w:div w:id="954218765">
          <w:marLeft w:val="274"/>
          <w:marRight w:val="0"/>
          <w:marTop w:val="0"/>
          <w:marBottom w:val="0"/>
          <w:divBdr>
            <w:top w:val="none" w:sz="0" w:space="0" w:color="auto"/>
            <w:left w:val="none" w:sz="0" w:space="0" w:color="auto"/>
            <w:bottom w:val="none" w:sz="0" w:space="0" w:color="auto"/>
            <w:right w:val="none" w:sz="0" w:space="0" w:color="auto"/>
          </w:divBdr>
        </w:div>
        <w:div w:id="25155048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nmh/events/ncd_action_plan/en/"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entity/nmh/ncd-task-force/wb-undp-who-jointworkingmemo-20141104.pdf?ua=1" TargetMode="External"/><Relationship Id="rId2" Type="http://schemas.openxmlformats.org/officeDocument/2006/relationships/hyperlink" Target="http://www.who.int/entity/nmh/ncd-task-force/unitaf-18-march-2015.pdf?ua=1" TargetMode="External"/><Relationship Id="rId1" Type="http://schemas.openxmlformats.org/officeDocument/2006/relationships/hyperlink" Target="http://www.who.int/nmh/events/2014/outcome-document.pdf" TargetMode="External"/><Relationship Id="rId6" Type="http://schemas.openxmlformats.org/officeDocument/2006/relationships/hyperlink" Target="http://www.who.int/nmh/events/2014/outcome-document.pdf" TargetMode="External"/><Relationship Id="rId5" Type="http://schemas.openxmlformats.org/officeDocument/2006/relationships/hyperlink" Target="http://whqlibdoc.who.int/publications/2011/9789241502313_eng.pdf?ua=1" TargetMode="External"/><Relationship Id="rId4" Type="http://schemas.openxmlformats.org/officeDocument/2006/relationships/hyperlink" Target="http://www3.weforum.org/docs/WEF_Harvard_HE_GlobalEconomicBurdenNonCommunicableDiseases_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2015-08-04T06:00:00+00:00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1453</Value>
      <Value>1107</Value>
      <Value>1</Value>
    </TaxCatchAll>
    <c4e2ab2cc9354bbf9064eeb465a566ea xmlns="1ed4137b-41b2-488b-8250-6d369ec27664">
      <Terms xmlns="http://schemas.microsoft.com/office/infopath/2007/PartnerControls"/>
    </c4e2ab2cc9354bbf9064eeb465a566ea>
    <UndpProjectNo xmlns="1ed4137b-41b2-488b-8250-6d369ec27664">00089671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IRN</TermName>
          <TermId xmlns="http://schemas.microsoft.com/office/infopath/2007/PartnerControls">3441a0d6-905d-42b8-abb0-82e7b0ab7f1f</TermId>
        </TermInfo>
      </Terms>
    </gc6531b704974d528487414686b72f6f>
    <_dlc_DocId xmlns="f1161f5b-24a3-4c2d-bc81-44cb9325e8ee">ATLASPDC-4-35936</_dlc_DocId>
    <_dlc_DocIdUrl xmlns="f1161f5b-24a3-4c2d-bc81-44cb9325e8ee">
      <Url>https://info.undp.org/docs/pdc/_layouts/DocIdRedir.aspx?ID=ATLASPDC-4-35936</Url>
      <Description>ATLASPDC-4-35936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83BE6E8-68FF-4438-ABF6-3A15F17567C1}"/>
</file>

<file path=customXml/itemProps2.xml><?xml version="1.0" encoding="utf-8"?>
<ds:datastoreItem xmlns:ds="http://schemas.openxmlformats.org/officeDocument/2006/customXml" ds:itemID="{6078FE16-75A7-4CB4-A8A8-46B27AF4CB7D}"/>
</file>

<file path=customXml/itemProps3.xml><?xml version="1.0" encoding="utf-8"?>
<ds:datastoreItem xmlns:ds="http://schemas.openxmlformats.org/officeDocument/2006/customXml" ds:itemID="{45868099-9885-4663-9F18-A748803A6111}"/>
</file>

<file path=customXml/itemProps4.xml><?xml version="1.0" encoding="utf-8"?>
<ds:datastoreItem xmlns:ds="http://schemas.openxmlformats.org/officeDocument/2006/customXml" ds:itemID="{2087CC78-4659-4F4D-B2E1-80D282E417FF}"/>
</file>

<file path=customXml/itemProps5.xml><?xml version="1.0" encoding="utf-8"?>
<ds:datastoreItem xmlns:ds="http://schemas.openxmlformats.org/officeDocument/2006/customXml" ds:itemID="{4FEB6405-2189-41B2-80BB-785CA6294C7A}"/>
</file>

<file path=customXml/itemProps6.xml><?xml version="1.0" encoding="utf-8"?>
<ds:datastoreItem xmlns:ds="http://schemas.openxmlformats.org/officeDocument/2006/customXml" ds:itemID="{1C9D5F47-B26E-43D3-9912-E73294C3CBD4}"/>
</file>

<file path=docProps/app.xml><?xml version="1.0" encoding="utf-8"?>
<Properties xmlns="http://schemas.openxmlformats.org/officeDocument/2006/extended-properties" xmlns:vt="http://schemas.openxmlformats.org/officeDocument/2006/docPropsVTypes">
  <Template>Normal.dotm</Template>
  <TotalTime>0</TotalTime>
  <Pages>6</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UHC Concept Note draft for discussion with GoJ</vt:lpstr>
    </vt:vector>
  </TitlesOfParts>
  <LinksUpToDate>false</LinksUpToDate>
  <CharactersWithSpaces>15329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UHC Concept Note draft for discussion with GoJ</dc:title>
  <dc:subject/>
  <dc:creator/>
  <cp:lastModifiedBy/>
  <cp:revision>1</cp:revision>
  <dcterms:created xsi:type="dcterms:W3CDTF">2015-05-12T15:35:00Z</dcterms:created>
  <dcterms:modified xsi:type="dcterms:W3CDTF">2015-05-12T15:35:00Z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1453;#IRN|3441a0d6-905d-42b8-abb0-82e7b0ab7f1f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b2e9c46c-3386-4c70-99e7-ba54ab95cff8</vt:lpwstr>
  </property>
  <property fmtid="{D5CDD505-2E9C-101B-9397-08002B2CF9AE}" pid="18" name="URL">
    <vt:lpwstr/>
  </property>
  <property fmtid="{D5CDD505-2E9C-101B-9397-08002B2CF9AE}" pid="19" name="DocumentSetDescription">
    <vt:lpwstr/>
  </property>
</Properties>
</file>